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B1615DB" w14:textId="77777777" w:rsidR="00E255BD" w:rsidRDefault="00EC1CFB" w:rsidP="00A1542D">
      <w:pPr>
        <w:pStyle w:val="Heading1"/>
        <w:spacing w:before="0"/>
        <w:contextualSpacing w:val="0"/>
      </w:pPr>
      <w:bookmarkStart w:id="0" w:name="h.l5i0kn7lo8lw" w:colFirst="0" w:colLast="0"/>
      <w:bookmarkEnd w:id="0"/>
      <w:r>
        <w:t>Exoplanets</w:t>
      </w:r>
    </w:p>
    <w:p w14:paraId="09513E64" w14:textId="77777777" w:rsidR="00E255BD" w:rsidRDefault="00EC1CFB">
      <w:pPr>
        <w:pStyle w:val="Normal1"/>
      </w:pPr>
      <w:r>
        <w:t>Novice</w:t>
      </w:r>
    </w:p>
    <w:p w14:paraId="0CD32EEA" w14:textId="77777777" w:rsidR="00E255BD" w:rsidRDefault="00EC1CFB">
      <w:pPr>
        <w:pStyle w:val="Normal1"/>
        <w:numPr>
          <w:ilvl w:val="0"/>
          <w:numId w:val="8"/>
        </w:numPr>
        <w:ind w:hanging="360"/>
        <w:contextualSpacing/>
      </w:pPr>
      <w:r>
        <w:t xml:space="preserve">The Sun is just another star, and many stars have planets around them. </w:t>
      </w:r>
    </w:p>
    <w:p w14:paraId="1CBB7D69" w14:textId="77777777" w:rsidR="00E255BD" w:rsidRDefault="00EC1CFB">
      <w:pPr>
        <w:pStyle w:val="Normal1"/>
        <w:numPr>
          <w:ilvl w:val="0"/>
          <w:numId w:val="8"/>
        </w:numPr>
        <w:ind w:hanging="360"/>
        <w:contextualSpacing/>
      </w:pPr>
      <w:r>
        <w:t xml:space="preserve">Two main methods for detecting planets around stars is when the planet blocks the light from the star (transit, like an eclipse), and from the star’s wobble (Doppler).  </w:t>
      </w:r>
    </w:p>
    <w:p w14:paraId="5FC6D3AC" w14:textId="77777777" w:rsidR="00E255BD" w:rsidRDefault="00E255BD">
      <w:pPr>
        <w:pStyle w:val="Normal1"/>
      </w:pPr>
    </w:p>
    <w:p w14:paraId="69B365F8" w14:textId="77777777" w:rsidR="00E255BD" w:rsidRDefault="00EC1CFB">
      <w:pPr>
        <w:pStyle w:val="Normal1"/>
      </w:pPr>
      <w:r>
        <w:t>Intermediate</w:t>
      </w:r>
    </w:p>
    <w:p w14:paraId="225BB7EF" w14:textId="77777777" w:rsidR="00E255BD" w:rsidRDefault="00EC1CFB">
      <w:pPr>
        <w:pStyle w:val="Normal1"/>
        <w:numPr>
          <w:ilvl w:val="0"/>
          <w:numId w:val="8"/>
        </w:numPr>
        <w:ind w:hanging="360"/>
        <w:contextualSpacing/>
      </w:pPr>
      <w:r>
        <w:t>Use Kepler’s Laws to calculate orbital properties of an exoplanet.</w:t>
      </w:r>
    </w:p>
    <w:p w14:paraId="33AC0153" w14:textId="77777777" w:rsidR="00E255BD" w:rsidRDefault="00EC1CFB">
      <w:pPr>
        <w:pStyle w:val="Normal1"/>
        <w:numPr>
          <w:ilvl w:val="0"/>
          <w:numId w:val="8"/>
        </w:numPr>
        <w:ind w:hanging="360"/>
        <w:contextualSpacing/>
      </w:pPr>
      <w:r>
        <w:t xml:space="preserve">The Habitable Zone is a region around a star where water would be liquid and thus an exoplanet could potentially support life. </w:t>
      </w:r>
    </w:p>
    <w:p w14:paraId="68BB9B27" w14:textId="77777777" w:rsidR="00E255BD" w:rsidRDefault="00EC1CFB">
      <w:pPr>
        <w:pStyle w:val="Normal1"/>
        <w:numPr>
          <w:ilvl w:val="0"/>
          <w:numId w:val="8"/>
        </w:numPr>
        <w:ind w:hanging="360"/>
        <w:contextualSpacing/>
      </w:pPr>
      <w:r>
        <w:t xml:space="preserve">Additional methods for detecting planets around stars are taking a photo and seeing it (direct observation), gravity of a star and planet bending the light of a farther star (gravitational lensing), transit timing variations, transit duration variation, astrometry, and more.  </w:t>
      </w:r>
    </w:p>
    <w:p w14:paraId="003C0462" w14:textId="77777777" w:rsidR="00E255BD" w:rsidRDefault="00E255BD">
      <w:pPr>
        <w:pStyle w:val="Normal1"/>
      </w:pPr>
    </w:p>
    <w:p w14:paraId="1980D595" w14:textId="77777777" w:rsidR="00E255BD" w:rsidRDefault="00EC1CFB">
      <w:pPr>
        <w:pStyle w:val="Normal1"/>
      </w:pPr>
      <w:r>
        <w:t>Expert</w:t>
      </w:r>
    </w:p>
    <w:p w14:paraId="7E8E6E86" w14:textId="77777777" w:rsidR="00E255BD" w:rsidRDefault="00EC1CFB">
      <w:pPr>
        <w:pStyle w:val="Normal1"/>
        <w:numPr>
          <w:ilvl w:val="0"/>
          <w:numId w:val="8"/>
        </w:numPr>
        <w:ind w:hanging="360"/>
        <w:contextualSpacing/>
      </w:pPr>
      <w:r>
        <w:t xml:space="preserve">Calculate a planet’s mass and radius from transit and RV data. </w:t>
      </w:r>
    </w:p>
    <w:p w14:paraId="3932F822" w14:textId="77777777" w:rsidR="00E255BD" w:rsidRDefault="00EC1CFB">
      <w:pPr>
        <w:pStyle w:val="Normal1"/>
        <w:numPr>
          <w:ilvl w:val="0"/>
          <w:numId w:val="8"/>
        </w:numPr>
        <w:ind w:hanging="360"/>
        <w:contextualSpacing/>
      </w:pPr>
      <w:r>
        <w:t xml:space="preserve">Kepler’s laws describe common features of the motions of orbiting objects, including their elliptical paths around the sun. Orbits may change due to the gravitational effects from, or collisions with, other objects in the solar system. </w:t>
      </w:r>
    </w:p>
    <w:p w14:paraId="7365FA27" w14:textId="77777777" w:rsidR="00E255BD" w:rsidRDefault="00EC1CFB">
      <w:pPr>
        <w:pStyle w:val="Normal1"/>
        <w:numPr>
          <w:ilvl w:val="0"/>
          <w:numId w:val="8"/>
        </w:numPr>
        <w:ind w:hanging="360"/>
        <w:contextualSpacing/>
      </w:pPr>
      <w:r>
        <w:t xml:space="preserve">Strengths and weaknesses of the most commonly used methods.  </w:t>
      </w:r>
    </w:p>
    <w:p w14:paraId="2A3AA726" w14:textId="77777777" w:rsidR="00E255BD" w:rsidRDefault="00EC1CFB">
      <w:pPr>
        <w:pStyle w:val="Normal1"/>
        <w:numPr>
          <w:ilvl w:val="0"/>
          <w:numId w:val="8"/>
        </w:numPr>
        <w:ind w:hanging="360"/>
        <w:contextualSpacing/>
      </w:pPr>
      <w:r>
        <w:t xml:space="preserve">Calculations for the assorted methods.  </w:t>
      </w:r>
    </w:p>
    <w:p w14:paraId="272B35BF" w14:textId="77777777" w:rsidR="00E255BD" w:rsidRDefault="00E255BD">
      <w:pPr>
        <w:pStyle w:val="Normal1"/>
      </w:pPr>
    </w:p>
    <w:p w14:paraId="50E84EBC" w14:textId="3C97576D" w:rsidR="00AA7F1B" w:rsidRDefault="00AA7F1B" w:rsidP="008E0D23">
      <w:pPr>
        <w:pStyle w:val="Heading1"/>
        <w:contextualSpacing w:val="0"/>
      </w:pPr>
      <w:bookmarkStart w:id="1" w:name="h.b5bp0d7v9mja" w:colFirst="0" w:colLast="0"/>
      <w:bookmarkEnd w:id="1"/>
      <w:r w:rsidRPr="00A1542D">
        <w:rPr>
          <w:sz w:val="24"/>
        </w:rPr>
        <w:t>Related NGSS</w:t>
      </w:r>
      <w:bookmarkStart w:id="2" w:name="_GoBack"/>
      <w:bookmarkEnd w:id="2"/>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42"/>
        <w:gridCol w:w="7406"/>
      </w:tblGrid>
      <w:tr w:rsidR="002D3825" w14:paraId="00D994F6" w14:textId="77777777" w:rsidTr="00EC1CFB">
        <w:tc>
          <w:tcPr>
            <w:tcW w:w="815" w:type="pct"/>
          </w:tcPr>
          <w:p w14:paraId="7B217263" w14:textId="77777777" w:rsidR="002D3825" w:rsidRDefault="002D3825" w:rsidP="00EC1CFB">
            <w:pPr>
              <w:pStyle w:val="NoSpacing"/>
            </w:pPr>
            <w:r>
              <w:t>Grade Level</w:t>
            </w:r>
          </w:p>
        </w:tc>
        <w:tc>
          <w:tcPr>
            <w:tcW w:w="4185" w:type="pct"/>
            <w:tcMar>
              <w:top w:w="100" w:type="dxa"/>
              <w:left w:w="100" w:type="dxa"/>
              <w:bottom w:w="100" w:type="dxa"/>
              <w:right w:w="100" w:type="dxa"/>
            </w:tcMar>
          </w:tcPr>
          <w:p w14:paraId="4D2E35FA" w14:textId="77777777" w:rsidR="002D3825" w:rsidRDefault="002D3825" w:rsidP="00EC1CFB">
            <w:pPr>
              <w:pStyle w:val="NoSpacing"/>
              <w:tabs>
                <w:tab w:val="left" w:pos="4320"/>
              </w:tabs>
            </w:pPr>
            <w:r>
              <w:t xml:space="preserve">Student Performance Expectations </w:t>
            </w:r>
          </w:p>
        </w:tc>
      </w:tr>
      <w:tr w:rsidR="0084134C" w14:paraId="520EB757" w14:textId="77777777" w:rsidTr="00EC1CFB">
        <w:tc>
          <w:tcPr>
            <w:tcW w:w="815" w:type="pct"/>
          </w:tcPr>
          <w:p w14:paraId="36344C61" w14:textId="77777777" w:rsidR="0084134C" w:rsidRDefault="0084134C" w:rsidP="00EC1CFB">
            <w:pPr>
              <w:pStyle w:val="NoSpacing"/>
            </w:pPr>
            <w:r>
              <w:t>3-5</w:t>
            </w:r>
          </w:p>
        </w:tc>
        <w:tc>
          <w:tcPr>
            <w:tcW w:w="4185" w:type="pct"/>
            <w:tcMar>
              <w:top w:w="100" w:type="dxa"/>
              <w:left w:w="100" w:type="dxa"/>
              <w:bottom w:w="100" w:type="dxa"/>
              <w:right w:w="100" w:type="dxa"/>
            </w:tcMar>
          </w:tcPr>
          <w:p w14:paraId="0F62E2C2" w14:textId="77777777" w:rsidR="0084134C" w:rsidRDefault="0084134C" w:rsidP="00774659">
            <w:pPr>
              <w:pStyle w:val="NoSpacing"/>
            </w:pPr>
            <w:r>
              <w:t xml:space="preserve">5-ESS1-2: </w:t>
            </w:r>
          </w:p>
          <w:tbl>
            <w:tblPr>
              <w:tblW w:w="0" w:type="auto"/>
              <w:tblBorders>
                <w:top w:val="nil"/>
                <w:left w:val="nil"/>
                <w:right w:val="nil"/>
              </w:tblBorders>
              <w:tblLook w:val="0000" w:firstRow="0" w:lastRow="0" w:firstColumn="0" w:lastColumn="0" w:noHBand="0" w:noVBand="0"/>
            </w:tblPr>
            <w:tblGrid>
              <w:gridCol w:w="707"/>
              <w:gridCol w:w="6499"/>
            </w:tblGrid>
            <w:tr w:rsidR="0084134C" w14:paraId="3146B39E" w14:textId="77777777" w:rsidTr="00774659">
              <w:tc>
                <w:tcPr>
                  <w:tcW w:w="707" w:type="dxa"/>
                  <w:tcMar>
                    <w:right w:w="300" w:type="nil"/>
                  </w:tcMar>
                </w:tcPr>
                <w:p w14:paraId="5FA1F049" w14:textId="77777777" w:rsidR="0084134C" w:rsidRDefault="0084134C" w:rsidP="00774659">
                  <w:pPr>
                    <w:widowControl w:val="0"/>
                    <w:autoSpaceDE w:val="0"/>
                    <w:autoSpaceDN w:val="0"/>
                    <w:adjustRightInd w:val="0"/>
                    <w:rPr>
                      <w:rFonts w:ascii="Arial" w:hAnsi="Arial" w:cs="Arial"/>
                      <w:b/>
                      <w:bCs/>
                      <w:color w:val="auto"/>
                      <w:sz w:val="22"/>
                      <w:szCs w:val="22"/>
                    </w:rPr>
                  </w:pPr>
                </w:p>
              </w:tc>
              <w:tc>
                <w:tcPr>
                  <w:tcW w:w="6499" w:type="dxa"/>
                  <w:shd w:val="clear" w:color="auto" w:fill="FFFFFF"/>
                  <w:tcMar>
                    <w:bottom w:w="200" w:type="nil"/>
                  </w:tcMar>
                </w:tcPr>
                <w:p w14:paraId="628C091E" w14:textId="77777777" w:rsidR="0084134C" w:rsidRDefault="0084134C" w:rsidP="00774659">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Represent data in graphical displays to reveal patterns of daily changes in length and direction of shadows, day and night, and the seasonal appearance of some stars in the night sky.</w:t>
                  </w:r>
                </w:p>
              </w:tc>
            </w:tr>
          </w:tbl>
          <w:p w14:paraId="00658793" w14:textId="77777777" w:rsidR="0084134C" w:rsidRDefault="0084134C" w:rsidP="00EC1CFB">
            <w:pPr>
              <w:pStyle w:val="NoSpacing"/>
            </w:pPr>
          </w:p>
        </w:tc>
      </w:tr>
      <w:tr w:rsidR="0084134C" w14:paraId="0887FAD2" w14:textId="77777777" w:rsidTr="00EC1CFB">
        <w:tc>
          <w:tcPr>
            <w:tcW w:w="815" w:type="pct"/>
          </w:tcPr>
          <w:p w14:paraId="199C7381" w14:textId="77777777" w:rsidR="0084134C" w:rsidRDefault="0084134C" w:rsidP="00EC1CFB">
            <w:pPr>
              <w:pStyle w:val="NoSpacing"/>
            </w:pPr>
            <w:r>
              <w:t>MS</w:t>
            </w:r>
          </w:p>
        </w:tc>
        <w:tc>
          <w:tcPr>
            <w:tcW w:w="4185" w:type="pct"/>
            <w:tcMar>
              <w:top w:w="100" w:type="dxa"/>
              <w:left w:w="100" w:type="dxa"/>
              <w:bottom w:w="100" w:type="dxa"/>
              <w:right w:w="100" w:type="dxa"/>
            </w:tcMar>
          </w:tcPr>
          <w:tbl>
            <w:tblPr>
              <w:tblW w:w="0" w:type="auto"/>
              <w:tblBorders>
                <w:top w:val="nil"/>
                <w:left w:val="nil"/>
                <w:right w:val="nil"/>
              </w:tblBorders>
              <w:tblLook w:val="0000" w:firstRow="0" w:lastRow="0" w:firstColumn="0" w:lastColumn="0" w:noHBand="0" w:noVBand="0"/>
            </w:tblPr>
            <w:tblGrid>
              <w:gridCol w:w="1084"/>
              <w:gridCol w:w="6122"/>
            </w:tblGrid>
            <w:tr w:rsidR="0084134C" w14:paraId="6A05D563" w14:textId="77777777" w:rsidTr="00774659">
              <w:tc>
                <w:tcPr>
                  <w:tcW w:w="1500" w:type="dxa"/>
                  <w:tcMar>
                    <w:right w:w="300" w:type="nil"/>
                  </w:tcMar>
                </w:tcPr>
                <w:p w14:paraId="2207D722" w14:textId="77777777" w:rsidR="0084134C" w:rsidRDefault="0084134C" w:rsidP="00774659">
                  <w:pPr>
                    <w:widowControl w:val="0"/>
                    <w:autoSpaceDE w:val="0"/>
                    <w:autoSpaceDN w:val="0"/>
                    <w:adjustRightInd w:val="0"/>
                    <w:rPr>
                      <w:rFonts w:ascii="Arial" w:hAnsi="Arial" w:cs="Arial"/>
                      <w:b/>
                      <w:bCs/>
                      <w:color w:val="auto"/>
                      <w:sz w:val="22"/>
                      <w:szCs w:val="22"/>
                    </w:rPr>
                  </w:pPr>
                  <w:r>
                    <w:rPr>
                      <w:rFonts w:ascii="Arial" w:hAnsi="Arial" w:cs="Arial"/>
                      <w:b/>
                      <w:bCs/>
                      <w:color w:val="auto"/>
                      <w:sz w:val="22"/>
                      <w:szCs w:val="22"/>
                    </w:rPr>
                    <w:t>MS-ESS1-2</w:t>
                  </w:r>
                </w:p>
              </w:tc>
              <w:tc>
                <w:tcPr>
                  <w:tcW w:w="14760" w:type="dxa"/>
                  <w:shd w:val="clear" w:color="auto" w:fill="FFFFFF"/>
                  <w:tcMar>
                    <w:bottom w:w="200" w:type="nil"/>
                  </w:tcMar>
                </w:tcPr>
                <w:p w14:paraId="21D500D4" w14:textId="77777777" w:rsidR="0084134C" w:rsidRDefault="0084134C" w:rsidP="00774659">
                  <w:pPr>
                    <w:widowControl w:val="0"/>
                    <w:autoSpaceDE w:val="0"/>
                    <w:autoSpaceDN w:val="0"/>
                    <w:adjustRightInd w:val="0"/>
                    <w:rPr>
                      <w:rFonts w:ascii="Arial" w:hAnsi="Arial" w:cs="Arial"/>
                      <w:b/>
                      <w:bCs/>
                      <w:color w:val="343434"/>
                      <w:sz w:val="22"/>
                      <w:szCs w:val="22"/>
                    </w:rPr>
                  </w:pPr>
                </w:p>
                <w:p w14:paraId="038D97D1" w14:textId="77777777" w:rsidR="0084134C" w:rsidRDefault="0084134C" w:rsidP="00774659">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Analyze and interpret data to determine scale properties of objects in the solar system.</w:t>
                  </w:r>
                </w:p>
              </w:tc>
            </w:tr>
          </w:tbl>
          <w:p w14:paraId="7CD81419" w14:textId="77777777" w:rsidR="0084134C" w:rsidRDefault="0084134C" w:rsidP="00EC1CFB">
            <w:pPr>
              <w:pStyle w:val="NoSpacing"/>
            </w:pPr>
          </w:p>
        </w:tc>
      </w:tr>
      <w:tr w:rsidR="0084134C" w14:paraId="2FDA2565" w14:textId="77777777" w:rsidTr="00EC1CFB">
        <w:tc>
          <w:tcPr>
            <w:tcW w:w="815" w:type="pct"/>
          </w:tcPr>
          <w:p w14:paraId="63AE07F4" w14:textId="77777777" w:rsidR="0084134C" w:rsidRDefault="0084134C" w:rsidP="00EC1CFB">
            <w:pPr>
              <w:pStyle w:val="NoSpacing"/>
            </w:pPr>
            <w:r>
              <w:t>HS</w:t>
            </w:r>
          </w:p>
        </w:tc>
        <w:tc>
          <w:tcPr>
            <w:tcW w:w="4185" w:type="pct"/>
            <w:tcMar>
              <w:top w:w="100" w:type="dxa"/>
              <w:left w:w="100" w:type="dxa"/>
              <w:bottom w:w="100" w:type="dxa"/>
              <w:right w:w="100" w:type="dxa"/>
            </w:tcMar>
          </w:tcPr>
          <w:p w14:paraId="2674084A" w14:textId="77777777" w:rsidR="0084134C" w:rsidRDefault="0084134C" w:rsidP="00EC1CFB">
            <w:pPr>
              <w:pStyle w:val="NoSpacing"/>
            </w:pPr>
            <w:r>
              <w:t xml:space="preserve">HS-ESS1-4 </w:t>
            </w:r>
          </w:p>
          <w:tbl>
            <w:tblPr>
              <w:tblW w:w="0" w:type="auto"/>
              <w:tblBorders>
                <w:top w:val="nil"/>
                <w:left w:val="nil"/>
                <w:right w:val="nil"/>
              </w:tblBorders>
              <w:tblLook w:val="0000" w:firstRow="0" w:lastRow="0" w:firstColumn="0" w:lastColumn="0" w:noHBand="0" w:noVBand="0"/>
            </w:tblPr>
            <w:tblGrid>
              <w:gridCol w:w="683"/>
              <w:gridCol w:w="6523"/>
            </w:tblGrid>
            <w:tr w:rsidR="0084134C" w14:paraId="026CC1E7" w14:textId="77777777">
              <w:tc>
                <w:tcPr>
                  <w:tcW w:w="1500" w:type="dxa"/>
                  <w:tcMar>
                    <w:right w:w="300" w:type="nil"/>
                  </w:tcMar>
                </w:tcPr>
                <w:p w14:paraId="4C6EC0E5" w14:textId="77777777" w:rsidR="0084134C" w:rsidRDefault="0084134C">
                  <w:pPr>
                    <w:widowControl w:val="0"/>
                    <w:autoSpaceDE w:val="0"/>
                    <w:autoSpaceDN w:val="0"/>
                    <w:adjustRightInd w:val="0"/>
                    <w:rPr>
                      <w:rFonts w:ascii="Arial" w:hAnsi="Arial" w:cs="Arial"/>
                      <w:b/>
                      <w:bCs/>
                      <w:color w:val="auto"/>
                      <w:sz w:val="22"/>
                      <w:szCs w:val="22"/>
                    </w:rPr>
                  </w:pPr>
                </w:p>
              </w:tc>
              <w:tc>
                <w:tcPr>
                  <w:tcW w:w="14760" w:type="dxa"/>
                  <w:shd w:val="clear" w:color="auto" w:fill="FFFFFF"/>
                  <w:tcMar>
                    <w:bottom w:w="200" w:type="nil"/>
                  </w:tcMar>
                </w:tcPr>
                <w:p w14:paraId="4FEAEC01" w14:textId="77777777" w:rsidR="0084134C" w:rsidRDefault="0084134C">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Use mathematical or computational representations to predict the motion of orbiting objects in the solar system.</w:t>
                  </w:r>
                </w:p>
              </w:tc>
            </w:tr>
          </w:tbl>
          <w:p w14:paraId="21575EBC" w14:textId="77777777" w:rsidR="0084134C" w:rsidRDefault="0084134C" w:rsidP="00EC1CFB">
            <w:pPr>
              <w:pStyle w:val="NoSpacing"/>
            </w:pPr>
          </w:p>
        </w:tc>
      </w:tr>
    </w:tbl>
    <w:p w14:paraId="5ED96F07" w14:textId="77777777" w:rsidR="00E255BD" w:rsidRDefault="00E255BD">
      <w:pPr>
        <w:pStyle w:val="Normal1"/>
      </w:pPr>
    </w:p>
    <w:p w14:paraId="5685497E" w14:textId="77777777" w:rsidR="00100365" w:rsidRPr="00A1542D" w:rsidRDefault="00100365" w:rsidP="00A1542D">
      <w:pPr>
        <w:pStyle w:val="Heading1"/>
        <w:contextualSpacing w:val="0"/>
        <w:rPr>
          <w:sz w:val="24"/>
        </w:rPr>
      </w:pPr>
      <w:r w:rsidRPr="00A1542D">
        <w:rPr>
          <w:sz w:val="24"/>
        </w:rPr>
        <w:lastRenderedPageBreak/>
        <w:t>Related CCSSM</w:t>
      </w:r>
    </w:p>
    <w:tbl>
      <w:tblPr>
        <w:tblStyle w:val="TableGrid"/>
        <w:tblW w:w="0" w:type="auto"/>
        <w:tblLook w:val="04A0" w:firstRow="1" w:lastRow="0" w:firstColumn="1" w:lastColumn="0" w:noHBand="0" w:noVBand="1"/>
      </w:tblPr>
      <w:tblGrid>
        <w:gridCol w:w="1458"/>
        <w:gridCol w:w="7398"/>
      </w:tblGrid>
      <w:tr w:rsidR="00100365" w14:paraId="4479461C" w14:textId="77777777" w:rsidTr="00100365">
        <w:tc>
          <w:tcPr>
            <w:tcW w:w="1458" w:type="dxa"/>
          </w:tcPr>
          <w:p w14:paraId="52613A78" w14:textId="77777777" w:rsidR="00100365" w:rsidRDefault="00100365" w:rsidP="00100365">
            <w:pPr>
              <w:pStyle w:val="NoSpacing"/>
            </w:pPr>
            <w:r>
              <w:t>Grade Level</w:t>
            </w:r>
          </w:p>
        </w:tc>
        <w:tc>
          <w:tcPr>
            <w:tcW w:w="7398" w:type="dxa"/>
          </w:tcPr>
          <w:p w14:paraId="770CE34F" w14:textId="77777777" w:rsidR="00100365" w:rsidRDefault="00100365" w:rsidP="00100365">
            <w:pPr>
              <w:pStyle w:val="NoSpacing"/>
            </w:pPr>
            <w:r>
              <w:t>Student Performance Expectations</w:t>
            </w:r>
          </w:p>
        </w:tc>
      </w:tr>
      <w:tr w:rsidR="00100365" w14:paraId="6529824B" w14:textId="77777777" w:rsidTr="00100365">
        <w:tc>
          <w:tcPr>
            <w:tcW w:w="1458" w:type="dxa"/>
          </w:tcPr>
          <w:p w14:paraId="7B83761C" w14:textId="77777777" w:rsidR="00100365" w:rsidRDefault="00100365" w:rsidP="00100365">
            <w:pPr>
              <w:pStyle w:val="NoSpacing"/>
            </w:pPr>
            <w:r>
              <w:t>3-5</w:t>
            </w:r>
          </w:p>
        </w:tc>
        <w:tc>
          <w:tcPr>
            <w:tcW w:w="7398" w:type="dxa"/>
          </w:tcPr>
          <w:p w14:paraId="7D571D7C" w14:textId="77777777" w:rsidR="00100365" w:rsidRPr="00FC3F99" w:rsidRDefault="00100365" w:rsidP="00100365">
            <w:pPr>
              <w:pStyle w:val="NoSpacing"/>
              <w:rPr>
                <w:b/>
              </w:rPr>
            </w:pPr>
            <w:r w:rsidRPr="00FC3F99">
              <w:rPr>
                <w:b/>
              </w:rPr>
              <w:t>CCSS.MATH.PRACTICE.MP2 Reason abstractly and quantitatively.</w:t>
            </w:r>
          </w:p>
          <w:p w14:paraId="12130E11" w14:textId="77777777" w:rsidR="00100365" w:rsidRDefault="00100365" w:rsidP="00100365">
            <w:pPr>
              <w:pStyle w:val="NoSpacing"/>
              <w:rPr>
                <w:rFonts w:ascii="Lato Light" w:hAnsi="Lato Light"/>
                <w:b/>
                <w:color w:val="202020"/>
                <w:sz w:val="25"/>
                <w:szCs w:val="25"/>
              </w:rPr>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000F6AEF" w14:textId="77777777" w:rsidR="00100365" w:rsidRPr="00FC3F99" w:rsidRDefault="00100365" w:rsidP="00100365">
            <w:pPr>
              <w:pStyle w:val="NoSpacing"/>
              <w:rPr>
                <w:rFonts w:ascii="Lato Light" w:hAnsi="Lato Light"/>
                <w:b/>
                <w:color w:val="202020"/>
                <w:sz w:val="25"/>
                <w:szCs w:val="25"/>
              </w:rPr>
            </w:pPr>
            <w:r w:rsidRPr="00FC3F99">
              <w:rPr>
                <w:rFonts w:ascii="Lato Light" w:hAnsi="Lato Light"/>
                <w:b/>
                <w:color w:val="202020"/>
                <w:sz w:val="25"/>
                <w:szCs w:val="25"/>
              </w:rPr>
              <w:t>CCSS.MATH.PRACTICE.MP4 Model with mathematics.</w:t>
            </w:r>
          </w:p>
          <w:p w14:paraId="6A86149C" w14:textId="77777777" w:rsidR="00100365" w:rsidRDefault="00100365" w:rsidP="00100365">
            <w:pPr>
              <w:pStyle w:val="NoSpacing"/>
              <w:rPr>
                <w:rFonts w:ascii="Lato Light" w:hAnsi="Lato Light"/>
                <w:color w:val="202020"/>
                <w:sz w:val="25"/>
                <w:szCs w:val="25"/>
              </w:rPr>
            </w:pPr>
            <w:r>
              <w:rPr>
                <w:rFonts w:ascii="Lato Light" w:hAnsi="Lato Light"/>
                <w:color w:val="202020"/>
                <w:sz w:val="25"/>
                <w:szCs w:val="25"/>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34D190F2" w14:textId="77777777" w:rsidR="00100365" w:rsidRDefault="00100365" w:rsidP="00685946">
            <w:pPr>
              <w:pStyle w:val="NoSpacing"/>
              <w:rPr>
                <w:b/>
              </w:rPr>
            </w:pPr>
            <w:r w:rsidRPr="00FC3F99">
              <w:rPr>
                <w:b/>
              </w:rPr>
              <w:t>CCSS.MATH.</w:t>
            </w:r>
            <w:r>
              <w:rPr>
                <w:b/>
              </w:rPr>
              <w:t>CONTENT.</w:t>
            </w:r>
            <w:r w:rsidR="00685946">
              <w:rPr>
                <w:b/>
              </w:rPr>
              <w:t>5.G.A.2</w:t>
            </w:r>
          </w:p>
          <w:p w14:paraId="66B26715" w14:textId="77777777" w:rsidR="00685946" w:rsidRPr="00A25F9A" w:rsidRDefault="00685946" w:rsidP="00685946">
            <w:pPr>
              <w:pStyle w:val="NoSpacing"/>
              <w:rPr>
                <w:rFonts w:ascii="Lato Light" w:hAnsi="Lato Light"/>
                <w:color w:val="202020"/>
                <w:sz w:val="25"/>
                <w:szCs w:val="25"/>
              </w:rPr>
            </w:pPr>
            <w:r>
              <w:t>Represent real world and mathematical problems by graphing points in the first quadrant of the coordinate plane, and interpret coordinate values of points in the context of the situation.</w:t>
            </w:r>
          </w:p>
        </w:tc>
      </w:tr>
      <w:tr w:rsidR="00100365" w14:paraId="22524FAF" w14:textId="77777777" w:rsidTr="00100365">
        <w:tc>
          <w:tcPr>
            <w:tcW w:w="1458" w:type="dxa"/>
          </w:tcPr>
          <w:p w14:paraId="04786625" w14:textId="77777777" w:rsidR="00100365" w:rsidRDefault="00100365" w:rsidP="00100365">
            <w:pPr>
              <w:pStyle w:val="NoSpacing"/>
            </w:pPr>
            <w:r>
              <w:t>MS</w:t>
            </w:r>
          </w:p>
        </w:tc>
        <w:tc>
          <w:tcPr>
            <w:tcW w:w="7398" w:type="dxa"/>
          </w:tcPr>
          <w:p w14:paraId="19F34653" w14:textId="77777777" w:rsidR="009072F5" w:rsidRPr="00FC3F99" w:rsidRDefault="009072F5" w:rsidP="009072F5">
            <w:pPr>
              <w:pStyle w:val="NoSpacing"/>
              <w:rPr>
                <w:rFonts w:ascii="Lato Light" w:hAnsi="Lato Light"/>
                <w:b/>
                <w:color w:val="202020"/>
                <w:sz w:val="25"/>
                <w:szCs w:val="25"/>
              </w:rPr>
            </w:pPr>
            <w:r w:rsidRPr="00FC3F99">
              <w:rPr>
                <w:rFonts w:ascii="Lato Light" w:hAnsi="Lato Light"/>
                <w:b/>
                <w:color w:val="202020"/>
                <w:sz w:val="25"/>
                <w:szCs w:val="25"/>
              </w:rPr>
              <w:t>CCSS.MATH.PRACTICE.MP4 Model with mathematics.</w:t>
            </w:r>
          </w:p>
          <w:p w14:paraId="24DDB06D" w14:textId="77777777" w:rsidR="009072F5" w:rsidRDefault="009072F5" w:rsidP="009072F5">
            <w:pPr>
              <w:pStyle w:val="NoSpacing"/>
              <w:rPr>
                <w:rFonts w:ascii="Lato Light" w:hAnsi="Lato Light"/>
                <w:color w:val="202020"/>
                <w:sz w:val="25"/>
                <w:szCs w:val="25"/>
              </w:rPr>
            </w:pPr>
            <w:r>
              <w:rPr>
                <w:rFonts w:ascii="Lato Light" w:hAnsi="Lato Light"/>
                <w:color w:val="202020"/>
                <w:sz w:val="25"/>
                <w:szCs w:val="25"/>
              </w:rPr>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w:t>
            </w:r>
            <w:r>
              <w:rPr>
                <w:rFonts w:ascii="Lato Light" w:hAnsi="Lato Light"/>
                <w:color w:val="202020"/>
                <w:sz w:val="25"/>
                <w:szCs w:val="25"/>
              </w:rPr>
              <w:lastRenderedPageBreak/>
              <w:t>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67C60A01" w14:textId="77777777" w:rsidR="009072F5" w:rsidRDefault="009072F5" w:rsidP="009072F5">
            <w:pPr>
              <w:pStyle w:val="NoSpacing"/>
              <w:rPr>
                <w:b/>
              </w:rPr>
            </w:pPr>
            <w:r w:rsidRPr="00FC3F99">
              <w:rPr>
                <w:b/>
              </w:rPr>
              <w:t>CCSS.MATH.</w:t>
            </w:r>
            <w:r>
              <w:rPr>
                <w:b/>
              </w:rPr>
              <w:t>CONTENT.6.RP.A.1 Ratios and Proportional Relationships</w:t>
            </w:r>
          </w:p>
          <w:p w14:paraId="337AC259" w14:textId="77777777" w:rsidR="009072F5" w:rsidRDefault="009072F5" w:rsidP="009072F5">
            <w:pPr>
              <w:pStyle w:val="NoSpacing"/>
              <w:rPr>
                <w:rStyle w:val="apple-converted-space"/>
                <w:rFonts w:ascii="Lato Light" w:hAnsi="Lato Light"/>
                <w:color w:val="202020"/>
                <w:sz w:val="25"/>
                <w:szCs w:val="25"/>
              </w:rPr>
            </w:pPr>
            <w:r>
              <w:rPr>
                <w:rFonts w:ascii="Lato Light" w:hAnsi="Lato Light"/>
                <w:color w:val="202020"/>
                <w:sz w:val="25"/>
                <w:szCs w:val="25"/>
              </w:rPr>
              <w:t>Understand the concept of a ratio and use ratio language to describe a ratio relationship between two quantities.</w:t>
            </w:r>
            <w:r>
              <w:rPr>
                <w:rStyle w:val="apple-converted-space"/>
                <w:rFonts w:ascii="Lato Light" w:hAnsi="Lato Light"/>
                <w:color w:val="202020"/>
                <w:sz w:val="25"/>
                <w:szCs w:val="25"/>
              </w:rPr>
              <w:t> </w:t>
            </w:r>
          </w:p>
          <w:p w14:paraId="077E9F16" w14:textId="77777777" w:rsidR="009072F5" w:rsidRDefault="009072F5" w:rsidP="009072F5">
            <w:pPr>
              <w:pStyle w:val="NoSpacing"/>
              <w:rPr>
                <w:b/>
              </w:rPr>
            </w:pPr>
            <w:r w:rsidRPr="00FC3F99">
              <w:rPr>
                <w:b/>
              </w:rPr>
              <w:t>CCSS.MATH.</w:t>
            </w:r>
            <w:r>
              <w:rPr>
                <w:b/>
              </w:rPr>
              <w:t>CONTENT.7.RP.A.2 Ratios and Proportional Relationships</w:t>
            </w:r>
          </w:p>
          <w:p w14:paraId="1FA9BECC" w14:textId="77777777" w:rsidR="009072F5" w:rsidRDefault="009072F5" w:rsidP="009072F5">
            <w:pPr>
              <w:pStyle w:val="NoSpacing"/>
              <w:rPr>
                <w:rFonts w:ascii="Lato Light" w:hAnsi="Lato Light"/>
                <w:color w:val="202020"/>
                <w:sz w:val="25"/>
                <w:szCs w:val="25"/>
              </w:rPr>
            </w:pPr>
            <w:r>
              <w:rPr>
                <w:rFonts w:ascii="Lato Light" w:hAnsi="Lato Light"/>
                <w:color w:val="202020"/>
                <w:sz w:val="25"/>
                <w:szCs w:val="25"/>
              </w:rPr>
              <w:t>Recognize and represent proportional relationships between quantities.</w:t>
            </w:r>
          </w:p>
          <w:p w14:paraId="4E096D9A" w14:textId="77777777" w:rsidR="009072F5" w:rsidRDefault="009072F5" w:rsidP="009072F5">
            <w:pPr>
              <w:pStyle w:val="NoSpacing"/>
              <w:rPr>
                <w:b/>
              </w:rPr>
            </w:pPr>
            <w:r w:rsidRPr="00FC3F99">
              <w:rPr>
                <w:b/>
              </w:rPr>
              <w:t>CCSS.MATH.</w:t>
            </w:r>
            <w:r>
              <w:rPr>
                <w:b/>
              </w:rPr>
              <w:t>CONTENT.6.EE.B.6</w:t>
            </w:r>
          </w:p>
          <w:p w14:paraId="5ABE9073" w14:textId="77777777" w:rsidR="00100365" w:rsidRDefault="009072F5" w:rsidP="009072F5">
            <w:pPr>
              <w:pStyle w:val="NoSpacing"/>
            </w:pPr>
            <w:r>
              <w:t>Use variables to represent numbers and write expressions when solving a real-world or mathematical problem; understand that a variable can represent an unknown number, or, depending on the purpose at hand, any number in a specified set.</w:t>
            </w:r>
          </w:p>
          <w:p w14:paraId="5BB86E02" w14:textId="77777777" w:rsidR="009072F5" w:rsidRDefault="009072F5" w:rsidP="009072F5">
            <w:pPr>
              <w:pStyle w:val="NoSpacing"/>
              <w:rPr>
                <w:b/>
              </w:rPr>
            </w:pPr>
            <w:r w:rsidRPr="00FC3F99">
              <w:rPr>
                <w:b/>
              </w:rPr>
              <w:t>CCSS.MATH.</w:t>
            </w:r>
            <w:r>
              <w:rPr>
                <w:b/>
              </w:rPr>
              <w:t>CONTENT.7.EE.B.4</w:t>
            </w:r>
          </w:p>
          <w:p w14:paraId="4D612196" w14:textId="77777777" w:rsidR="009072F5" w:rsidRPr="00925262" w:rsidRDefault="009072F5" w:rsidP="009072F5">
            <w:pPr>
              <w:pStyle w:val="NoSpacing"/>
              <w:rPr>
                <w:b/>
              </w:rPr>
            </w:pPr>
            <w:r>
              <w:t>Use variables to represent quantities in a real-world or mathematical problem, and construct simple equations and inequalities to solve problems by reasoning about the quantities.</w:t>
            </w:r>
          </w:p>
        </w:tc>
      </w:tr>
      <w:tr w:rsidR="00100365" w14:paraId="22368F72" w14:textId="77777777" w:rsidTr="00100365">
        <w:tc>
          <w:tcPr>
            <w:tcW w:w="1458" w:type="dxa"/>
          </w:tcPr>
          <w:p w14:paraId="4AC7BE65" w14:textId="77777777" w:rsidR="00100365" w:rsidRDefault="00100365" w:rsidP="00100365">
            <w:pPr>
              <w:pStyle w:val="NoSpacing"/>
            </w:pPr>
            <w:r>
              <w:lastRenderedPageBreak/>
              <w:t>HS</w:t>
            </w:r>
          </w:p>
        </w:tc>
        <w:tc>
          <w:tcPr>
            <w:tcW w:w="7398" w:type="dxa"/>
          </w:tcPr>
          <w:p w14:paraId="6BE01004" w14:textId="77777777" w:rsidR="00100365" w:rsidRPr="00FC3F99" w:rsidRDefault="00100365" w:rsidP="00100365">
            <w:pPr>
              <w:pStyle w:val="NoSpacing"/>
              <w:rPr>
                <w:b/>
              </w:rPr>
            </w:pPr>
            <w:r w:rsidRPr="00FC3F99">
              <w:rPr>
                <w:b/>
              </w:rPr>
              <w:t>CCSS.MATH.PRACTICE.MP2 Reason abstractly and quantitatively.</w:t>
            </w:r>
          </w:p>
          <w:p w14:paraId="0DD355CE" w14:textId="77777777" w:rsidR="00100365" w:rsidRDefault="00100365" w:rsidP="00100365">
            <w:pPr>
              <w:pStyle w:val="NoSpacing"/>
              <w:rPr>
                <w:rFonts w:ascii="Lato Light" w:hAnsi="Lato Light"/>
                <w:b/>
                <w:color w:val="202020"/>
                <w:sz w:val="25"/>
                <w:szCs w:val="25"/>
              </w:rPr>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7F8F661F" w14:textId="77777777" w:rsidR="00100365" w:rsidRPr="00FC3F99" w:rsidRDefault="00100365" w:rsidP="00100365">
            <w:pPr>
              <w:pStyle w:val="NoSpacing"/>
              <w:rPr>
                <w:rFonts w:ascii="Lato Light" w:hAnsi="Lato Light"/>
                <w:b/>
                <w:color w:val="202020"/>
                <w:sz w:val="25"/>
                <w:szCs w:val="25"/>
              </w:rPr>
            </w:pPr>
            <w:r w:rsidRPr="00FC3F99">
              <w:rPr>
                <w:rFonts w:ascii="Lato Light" w:hAnsi="Lato Light"/>
                <w:b/>
                <w:color w:val="202020"/>
                <w:sz w:val="25"/>
                <w:szCs w:val="25"/>
              </w:rPr>
              <w:t>CCSS.MATH.PRACTICE.MP4 Model with mathematics.</w:t>
            </w:r>
          </w:p>
          <w:p w14:paraId="3B4DAC7F" w14:textId="77777777" w:rsidR="00100365" w:rsidRDefault="00100365" w:rsidP="00100365">
            <w:pPr>
              <w:pStyle w:val="NoSpacing"/>
              <w:rPr>
                <w:rFonts w:ascii="Lato Light" w:hAnsi="Lato Light"/>
                <w:color w:val="202020"/>
                <w:sz w:val="25"/>
                <w:szCs w:val="25"/>
              </w:rPr>
            </w:pPr>
            <w:r>
              <w:rPr>
                <w:rFonts w:ascii="Lato Light" w:hAnsi="Lato Light"/>
                <w:color w:val="202020"/>
                <w:sz w:val="25"/>
                <w:szCs w:val="25"/>
              </w:rPr>
              <w:t xml:space="preserve">Mathematically proficient students can apply the mathematics they know to solve problems arising in everyday life, society, and the </w:t>
            </w:r>
            <w:r>
              <w:rPr>
                <w:rFonts w:ascii="Lato Light" w:hAnsi="Lato Light"/>
                <w:color w:val="202020"/>
                <w:sz w:val="25"/>
                <w:szCs w:val="25"/>
              </w:rPr>
              <w:lastRenderedPageBreak/>
              <w:t>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2DDF5A15" w14:textId="77777777" w:rsidR="00100365" w:rsidRDefault="00100365" w:rsidP="00100365">
            <w:pPr>
              <w:pStyle w:val="NoSpacing"/>
              <w:rPr>
                <w:b/>
              </w:rPr>
            </w:pPr>
            <w:r>
              <w:t>Relate the domain of a function to its graph and, where applicable, to the quantitative relationship it describes.</w:t>
            </w:r>
          </w:p>
          <w:p w14:paraId="6C8F9837" w14:textId="77777777" w:rsidR="00D261CC" w:rsidRDefault="00D261CC" w:rsidP="00D261CC">
            <w:pPr>
              <w:pStyle w:val="NoSpacing"/>
            </w:pPr>
            <w:r w:rsidRPr="00FC3F99">
              <w:rPr>
                <w:b/>
              </w:rPr>
              <w:t>CCSS.MATH.</w:t>
            </w:r>
            <w:r>
              <w:rPr>
                <w:b/>
              </w:rPr>
              <w:t>CONTENT.HSN.Q.A.1 Quantities</w:t>
            </w:r>
          </w:p>
          <w:p w14:paraId="5BCF65D9" w14:textId="77777777" w:rsidR="00D261CC" w:rsidRDefault="00D261CC" w:rsidP="00D261CC">
            <w:pPr>
              <w:pStyle w:val="NoSpacing"/>
            </w:pPr>
            <w:r>
              <w:rPr>
                <w:rFonts w:ascii="Lato Light" w:hAnsi="Lato Light"/>
                <w:color w:val="202020"/>
                <w:sz w:val="25"/>
                <w:szCs w:val="25"/>
              </w:rPr>
              <w:t>Use units as a way to understand problems and to guide the solution of multi-step problems; choose and interpret units consistently in formulas; choose and interpret the scale and the origin in graphs and data displays.</w:t>
            </w:r>
          </w:p>
          <w:p w14:paraId="3E831704" w14:textId="77777777" w:rsidR="00D261CC" w:rsidRDefault="00D261CC" w:rsidP="00D261CC">
            <w:pPr>
              <w:pStyle w:val="NoSpacing"/>
            </w:pPr>
            <w:r w:rsidRPr="00FC3F99">
              <w:rPr>
                <w:b/>
              </w:rPr>
              <w:t>CCSS.MATH.</w:t>
            </w:r>
            <w:r>
              <w:rPr>
                <w:b/>
              </w:rPr>
              <w:t>CONTENT.HSN.Q.A.2 Quantities</w:t>
            </w:r>
            <w:r>
              <w:t xml:space="preserve"> </w:t>
            </w:r>
          </w:p>
          <w:p w14:paraId="4616BE7B" w14:textId="77777777" w:rsidR="00D261CC" w:rsidRDefault="00D261CC" w:rsidP="00D261CC">
            <w:pPr>
              <w:pStyle w:val="NoSpacing"/>
            </w:pPr>
            <w:r>
              <w:rPr>
                <w:rFonts w:ascii="Lato Light" w:hAnsi="Lato Light"/>
                <w:color w:val="202020"/>
                <w:sz w:val="25"/>
                <w:szCs w:val="25"/>
              </w:rPr>
              <w:t>Define appropriate quantities for the purpose of descriptive modeling.</w:t>
            </w:r>
          </w:p>
          <w:p w14:paraId="71966034" w14:textId="77777777" w:rsidR="00D261CC" w:rsidRDefault="00D261CC" w:rsidP="00D261CC">
            <w:pPr>
              <w:pStyle w:val="NoSpacing"/>
            </w:pPr>
            <w:r w:rsidRPr="00FC3F99">
              <w:rPr>
                <w:b/>
              </w:rPr>
              <w:t>CCSS.MATH.</w:t>
            </w:r>
            <w:r>
              <w:rPr>
                <w:b/>
              </w:rPr>
              <w:t>CONTENT.HSN.Q.A.3 Quantities</w:t>
            </w:r>
          </w:p>
          <w:p w14:paraId="30F59DD5" w14:textId="77777777" w:rsidR="00100365" w:rsidRDefault="00D261CC" w:rsidP="00D261CC">
            <w:pPr>
              <w:pStyle w:val="NoSpacing"/>
              <w:rPr>
                <w:rFonts w:ascii="Lato Light" w:hAnsi="Lato Light"/>
                <w:color w:val="202020"/>
                <w:sz w:val="25"/>
                <w:szCs w:val="25"/>
              </w:rPr>
            </w:pPr>
            <w:r>
              <w:rPr>
                <w:rFonts w:ascii="Lato Light" w:hAnsi="Lato Light"/>
                <w:color w:val="202020"/>
                <w:sz w:val="25"/>
                <w:szCs w:val="25"/>
              </w:rPr>
              <w:t>Choose a level of accuracy appropriate to limitations on measurement when reporting quantities.</w:t>
            </w:r>
          </w:p>
          <w:p w14:paraId="59B4C06E" w14:textId="77777777" w:rsidR="00DB411A" w:rsidRDefault="00DB411A" w:rsidP="00D261CC">
            <w:pPr>
              <w:pStyle w:val="NoSpacing"/>
              <w:rPr>
                <w:b/>
              </w:rPr>
            </w:pPr>
            <w:r w:rsidRPr="00FC3F99">
              <w:rPr>
                <w:b/>
              </w:rPr>
              <w:t>CCSS.MATH.</w:t>
            </w:r>
            <w:r>
              <w:rPr>
                <w:b/>
              </w:rPr>
              <w:t>CONTENT.HSA.SSE.A.1</w:t>
            </w:r>
          </w:p>
          <w:p w14:paraId="064723D1" w14:textId="77777777" w:rsidR="00DB411A" w:rsidRDefault="00A72388" w:rsidP="00D261CC">
            <w:pPr>
              <w:pStyle w:val="NoSpacing"/>
              <w:rPr>
                <w:b/>
              </w:rPr>
            </w:pPr>
            <w:r>
              <w:t>Interpret expressions that represent a quantity in terms of its context.</w:t>
            </w:r>
          </w:p>
          <w:p w14:paraId="7235B2F5" w14:textId="77777777" w:rsidR="00DB411A" w:rsidRDefault="00DB411A" w:rsidP="00D261CC">
            <w:pPr>
              <w:pStyle w:val="NoSpacing"/>
              <w:rPr>
                <w:b/>
              </w:rPr>
            </w:pPr>
            <w:r w:rsidRPr="00FC3F99">
              <w:rPr>
                <w:b/>
              </w:rPr>
              <w:t>CCSS.MATH.</w:t>
            </w:r>
            <w:r>
              <w:rPr>
                <w:b/>
              </w:rPr>
              <w:t>CONTENT.HSA.CED.A.2</w:t>
            </w:r>
          </w:p>
          <w:p w14:paraId="111F5D63" w14:textId="77777777" w:rsidR="00DB411A" w:rsidRDefault="005A0D2A" w:rsidP="00D261CC">
            <w:pPr>
              <w:pStyle w:val="NoSpacing"/>
              <w:rPr>
                <w:b/>
              </w:rPr>
            </w:pPr>
            <w:r>
              <w:t>Create equations in two or more variables to represent relationships between quantities; graph equations on coordinate axes with labels and scales.</w:t>
            </w:r>
          </w:p>
          <w:p w14:paraId="7B4E6685" w14:textId="77777777" w:rsidR="00DB411A" w:rsidRDefault="00DB411A" w:rsidP="00D261CC">
            <w:pPr>
              <w:pStyle w:val="NoSpacing"/>
              <w:rPr>
                <w:b/>
              </w:rPr>
            </w:pPr>
            <w:r w:rsidRPr="00FC3F99">
              <w:rPr>
                <w:b/>
              </w:rPr>
              <w:t>CCSS.MATH.</w:t>
            </w:r>
            <w:r>
              <w:rPr>
                <w:b/>
              </w:rPr>
              <w:t>CONTENT.HSA.CED.A.4</w:t>
            </w:r>
          </w:p>
          <w:p w14:paraId="09BFE811" w14:textId="77777777" w:rsidR="005A0D2A" w:rsidRDefault="005A0D2A" w:rsidP="00D261CC">
            <w:pPr>
              <w:pStyle w:val="NoSpacing"/>
            </w:pPr>
            <w:r>
              <w:t>Rearrange formulas to highlight a quantity of interest, using the same reasoning as in solving equations.</w:t>
            </w:r>
          </w:p>
        </w:tc>
      </w:tr>
    </w:tbl>
    <w:p w14:paraId="2229D5E4" w14:textId="77777777" w:rsidR="00100365" w:rsidRDefault="00100365">
      <w:pPr>
        <w:pStyle w:val="Normal1"/>
      </w:pPr>
    </w:p>
    <w:sectPr w:rsidR="00100365">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ato Ligh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7289D"/>
    <w:multiLevelType w:val="multilevel"/>
    <w:tmpl w:val="9DB4AE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562086A"/>
    <w:multiLevelType w:val="multilevel"/>
    <w:tmpl w:val="04D6D3B0"/>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E7441AF"/>
    <w:multiLevelType w:val="multilevel"/>
    <w:tmpl w:val="4F68A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0CB34AB"/>
    <w:multiLevelType w:val="multilevel"/>
    <w:tmpl w:val="8CFACE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7BB783C"/>
    <w:multiLevelType w:val="multilevel"/>
    <w:tmpl w:val="CF4C2496"/>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86F52C2"/>
    <w:multiLevelType w:val="multilevel"/>
    <w:tmpl w:val="541ADB38"/>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9E57900"/>
    <w:multiLevelType w:val="multilevel"/>
    <w:tmpl w:val="B4F22D36"/>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6992E16"/>
    <w:multiLevelType w:val="multilevel"/>
    <w:tmpl w:val="8C1ED3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8"/>
  </w:num>
  <w:num w:numId="3">
    <w:abstractNumId w:val="9"/>
  </w:num>
  <w:num w:numId="4">
    <w:abstractNumId w:val="4"/>
  </w:num>
  <w:num w:numId="5">
    <w:abstractNumId w:val="7"/>
  </w:num>
  <w:num w:numId="6">
    <w:abstractNumId w:val="6"/>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BD"/>
    <w:rsid w:val="0005514F"/>
    <w:rsid w:val="000674B9"/>
    <w:rsid w:val="00080500"/>
    <w:rsid w:val="000A4C83"/>
    <w:rsid w:val="000B182F"/>
    <w:rsid w:val="000B19E3"/>
    <w:rsid w:val="000C649C"/>
    <w:rsid w:val="000D641C"/>
    <w:rsid w:val="00100365"/>
    <w:rsid w:val="00117316"/>
    <w:rsid w:val="0012507C"/>
    <w:rsid w:val="001543D9"/>
    <w:rsid w:val="00185048"/>
    <w:rsid w:val="001852BB"/>
    <w:rsid w:val="00193571"/>
    <w:rsid w:val="00194596"/>
    <w:rsid w:val="00223746"/>
    <w:rsid w:val="0025517D"/>
    <w:rsid w:val="002D3825"/>
    <w:rsid w:val="002E608C"/>
    <w:rsid w:val="002F5DD4"/>
    <w:rsid w:val="0032186B"/>
    <w:rsid w:val="00322522"/>
    <w:rsid w:val="00337CC7"/>
    <w:rsid w:val="00386229"/>
    <w:rsid w:val="00402194"/>
    <w:rsid w:val="00427865"/>
    <w:rsid w:val="00462185"/>
    <w:rsid w:val="004643C8"/>
    <w:rsid w:val="00483403"/>
    <w:rsid w:val="004F0951"/>
    <w:rsid w:val="00574827"/>
    <w:rsid w:val="00580AB7"/>
    <w:rsid w:val="005A0D2A"/>
    <w:rsid w:val="005D02A6"/>
    <w:rsid w:val="005D2214"/>
    <w:rsid w:val="00650CA9"/>
    <w:rsid w:val="006836A0"/>
    <w:rsid w:val="00685946"/>
    <w:rsid w:val="00686CE7"/>
    <w:rsid w:val="006A16EF"/>
    <w:rsid w:val="006D5035"/>
    <w:rsid w:val="006E215D"/>
    <w:rsid w:val="006F68D9"/>
    <w:rsid w:val="007119C3"/>
    <w:rsid w:val="00735A4F"/>
    <w:rsid w:val="00747AC2"/>
    <w:rsid w:val="00774659"/>
    <w:rsid w:val="007E4399"/>
    <w:rsid w:val="007F07D0"/>
    <w:rsid w:val="0082309A"/>
    <w:rsid w:val="00825ED8"/>
    <w:rsid w:val="0084134C"/>
    <w:rsid w:val="00874917"/>
    <w:rsid w:val="008823D3"/>
    <w:rsid w:val="008A346C"/>
    <w:rsid w:val="008A7163"/>
    <w:rsid w:val="008C5A1E"/>
    <w:rsid w:val="008E03E7"/>
    <w:rsid w:val="008E0D23"/>
    <w:rsid w:val="009072F5"/>
    <w:rsid w:val="00925262"/>
    <w:rsid w:val="009451B1"/>
    <w:rsid w:val="00990718"/>
    <w:rsid w:val="00A07F86"/>
    <w:rsid w:val="00A1542D"/>
    <w:rsid w:val="00A25F9A"/>
    <w:rsid w:val="00A364F3"/>
    <w:rsid w:val="00A525A0"/>
    <w:rsid w:val="00A64921"/>
    <w:rsid w:val="00A715D3"/>
    <w:rsid w:val="00A72388"/>
    <w:rsid w:val="00A76239"/>
    <w:rsid w:val="00AA7F1B"/>
    <w:rsid w:val="00AB4B60"/>
    <w:rsid w:val="00AD74DF"/>
    <w:rsid w:val="00B21562"/>
    <w:rsid w:val="00B64A27"/>
    <w:rsid w:val="00B65F39"/>
    <w:rsid w:val="00B93F1D"/>
    <w:rsid w:val="00B95A2C"/>
    <w:rsid w:val="00BA5E2C"/>
    <w:rsid w:val="00BB6202"/>
    <w:rsid w:val="00BD2B09"/>
    <w:rsid w:val="00BD4DAB"/>
    <w:rsid w:val="00BD77B5"/>
    <w:rsid w:val="00C93408"/>
    <w:rsid w:val="00CC305E"/>
    <w:rsid w:val="00CF7060"/>
    <w:rsid w:val="00D00807"/>
    <w:rsid w:val="00D261CC"/>
    <w:rsid w:val="00D5161D"/>
    <w:rsid w:val="00D80EA3"/>
    <w:rsid w:val="00D8308F"/>
    <w:rsid w:val="00D97848"/>
    <w:rsid w:val="00DB411A"/>
    <w:rsid w:val="00DC4E5E"/>
    <w:rsid w:val="00DD204E"/>
    <w:rsid w:val="00DE60E3"/>
    <w:rsid w:val="00E10077"/>
    <w:rsid w:val="00E146F4"/>
    <w:rsid w:val="00E255BD"/>
    <w:rsid w:val="00E256F3"/>
    <w:rsid w:val="00E61408"/>
    <w:rsid w:val="00EA4E44"/>
    <w:rsid w:val="00EC1CFB"/>
    <w:rsid w:val="00ED0CC9"/>
    <w:rsid w:val="00EF685B"/>
    <w:rsid w:val="00F64B27"/>
    <w:rsid w:val="00F67A29"/>
    <w:rsid w:val="00FA6594"/>
    <w:rsid w:val="00FC3F99"/>
    <w:rsid w:val="00FC6166"/>
    <w:rsid w:val="00FD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DD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5540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1376</Words>
  <Characters>7849</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Isabel Peterson</dc:creator>
  <cp:lastModifiedBy>Andria Schwortz</cp:lastModifiedBy>
  <cp:revision>4</cp:revision>
  <dcterms:created xsi:type="dcterms:W3CDTF">2015-04-12T17:23:00Z</dcterms:created>
  <dcterms:modified xsi:type="dcterms:W3CDTF">2015-04-12T17:41:00Z</dcterms:modified>
</cp:coreProperties>
</file>