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1B34C2" w14:textId="77777777" w:rsidR="00E255BD" w:rsidRDefault="00EC1CFB" w:rsidP="0057796C">
      <w:pPr>
        <w:pStyle w:val="Heading1"/>
        <w:spacing w:before="0"/>
        <w:contextualSpacing w:val="0"/>
      </w:pPr>
      <w:bookmarkStart w:id="0" w:name="h.7t4duoslnnp8" w:colFirst="0" w:colLast="0"/>
      <w:bookmarkEnd w:id="0"/>
      <w:r>
        <w:t>False Color Images</w:t>
      </w:r>
    </w:p>
    <w:p w14:paraId="0CC3F0B0" w14:textId="77777777" w:rsidR="00E255BD" w:rsidRDefault="00EC1CFB">
      <w:pPr>
        <w:pStyle w:val="Normal1"/>
      </w:pPr>
      <w:r>
        <w:t>Novice</w:t>
      </w:r>
    </w:p>
    <w:p w14:paraId="53F54D4E" w14:textId="77777777" w:rsidR="00E255BD" w:rsidRDefault="00EC1CFB">
      <w:pPr>
        <w:pStyle w:val="Normal1"/>
        <w:numPr>
          <w:ilvl w:val="0"/>
          <w:numId w:val="8"/>
        </w:numPr>
        <w:ind w:hanging="360"/>
        <w:contextualSpacing/>
      </w:pPr>
      <w:r>
        <w:t xml:space="preserve">Images are made out of three colors combined together: red, green, and blue.  </w:t>
      </w:r>
    </w:p>
    <w:p w14:paraId="04A37A1D" w14:textId="77777777" w:rsidR="00E255BD" w:rsidRDefault="00EC1CFB">
      <w:pPr>
        <w:pStyle w:val="Normal1"/>
        <w:numPr>
          <w:ilvl w:val="0"/>
          <w:numId w:val="8"/>
        </w:numPr>
        <w:ind w:hanging="360"/>
        <w:contextualSpacing/>
      </w:pPr>
      <w:r>
        <w:t xml:space="preserve">We use three colors because this is how the human eye works.  </w:t>
      </w:r>
    </w:p>
    <w:p w14:paraId="0E9056AC" w14:textId="77777777" w:rsidR="00E255BD" w:rsidRDefault="00E255BD">
      <w:pPr>
        <w:pStyle w:val="Normal1"/>
      </w:pPr>
    </w:p>
    <w:p w14:paraId="5259B76F" w14:textId="77777777" w:rsidR="00E255BD" w:rsidRDefault="00EC1CFB">
      <w:pPr>
        <w:pStyle w:val="Normal1"/>
      </w:pPr>
      <w:r>
        <w:t>Intermediate</w:t>
      </w:r>
    </w:p>
    <w:p w14:paraId="56DF0AF1" w14:textId="77777777" w:rsidR="00E255BD" w:rsidRDefault="00EC1CFB">
      <w:pPr>
        <w:pStyle w:val="Normal1"/>
        <w:numPr>
          <w:ilvl w:val="0"/>
          <w:numId w:val="8"/>
        </w:numPr>
        <w:ind w:hanging="360"/>
        <w:contextualSpacing/>
      </w:pPr>
      <w:r>
        <w:t xml:space="preserve">Create three-color images. </w:t>
      </w:r>
    </w:p>
    <w:p w14:paraId="45B3B5CA" w14:textId="77777777" w:rsidR="00E255BD" w:rsidRDefault="00EC1CFB">
      <w:pPr>
        <w:pStyle w:val="Normal1"/>
        <w:numPr>
          <w:ilvl w:val="0"/>
          <w:numId w:val="8"/>
        </w:numPr>
        <w:ind w:hanging="360"/>
        <w:contextualSpacing/>
      </w:pPr>
      <w:r>
        <w:t>Take three-color images.</w:t>
      </w:r>
    </w:p>
    <w:p w14:paraId="1A51D1FD" w14:textId="77777777" w:rsidR="00E255BD" w:rsidRDefault="00EC1CFB">
      <w:pPr>
        <w:pStyle w:val="Normal1"/>
        <w:numPr>
          <w:ilvl w:val="0"/>
          <w:numId w:val="8"/>
        </w:numPr>
        <w:ind w:hanging="360"/>
        <w:contextualSpacing/>
      </w:pPr>
      <w:r>
        <w:t>Explain difference between representative color and false color.</w:t>
      </w:r>
    </w:p>
    <w:p w14:paraId="4FF194F3" w14:textId="77777777" w:rsidR="00E255BD" w:rsidRDefault="00EC1CFB">
      <w:pPr>
        <w:pStyle w:val="Normal1"/>
        <w:numPr>
          <w:ilvl w:val="0"/>
          <w:numId w:val="7"/>
        </w:numPr>
        <w:ind w:hanging="360"/>
        <w:contextualSpacing/>
      </w:pPr>
      <w:r>
        <w:t xml:space="preserve">Explain the astronomical definition of color (the difference between two wavelengths’ magnitudes). </w:t>
      </w:r>
    </w:p>
    <w:p w14:paraId="01EC1768" w14:textId="77777777" w:rsidR="00E255BD" w:rsidRDefault="00EC1CFB">
      <w:pPr>
        <w:pStyle w:val="Normal1"/>
        <w:numPr>
          <w:ilvl w:val="0"/>
          <w:numId w:val="7"/>
        </w:numPr>
        <w:ind w:hanging="360"/>
        <w:contextualSpacing/>
      </w:pPr>
      <w:r>
        <w:t xml:space="preserve">Create graphs using astronomical color to determine properties of clusters. </w:t>
      </w:r>
    </w:p>
    <w:p w14:paraId="594A9E30" w14:textId="77777777" w:rsidR="00E255BD" w:rsidRDefault="00E255BD">
      <w:pPr>
        <w:pStyle w:val="Normal1"/>
      </w:pPr>
    </w:p>
    <w:p w14:paraId="1EA37421" w14:textId="77777777" w:rsidR="00E255BD" w:rsidRDefault="00EC1CFB">
      <w:pPr>
        <w:pStyle w:val="Normal1"/>
      </w:pPr>
      <w:r>
        <w:t>Expert</w:t>
      </w:r>
    </w:p>
    <w:p w14:paraId="7FAAD48D" w14:textId="77777777" w:rsidR="00E255BD" w:rsidRDefault="00EC1CFB">
      <w:pPr>
        <w:pStyle w:val="Normal1"/>
        <w:numPr>
          <w:ilvl w:val="0"/>
          <w:numId w:val="7"/>
        </w:numPr>
        <w:ind w:hanging="360"/>
        <w:contextualSpacing/>
      </w:pPr>
      <w:r>
        <w:t>Calculate exposure times for three-color images.</w:t>
      </w:r>
    </w:p>
    <w:p w14:paraId="57A918C3" w14:textId="77777777" w:rsidR="00E255BD" w:rsidRDefault="00EC1CFB">
      <w:pPr>
        <w:pStyle w:val="Normal1"/>
        <w:numPr>
          <w:ilvl w:val="0"/>
          <w:numId w:val="7"/>
        </w:numPr>
        <w:ind w:hanging="360"/>
        <w:contextualSpacing/>
      </w:pPr>
      <w:r>
        <w:t>Determine meaning from color images.</w:t>
      </w:r>
    </w:p>
    <w:p w14:paraId="0D27CE47" w14:textId="77777777" w:rsidR="00E255BD" w:rsidRDefault="00EC1CFB">
      <w:pPr>
        <w:pStyle w:val="Normal1"/>
        <w:numPr>
          <w:ilvl w:val="0"/>
          <w:numId w:val="7"/>
        </w:numPr>
        <w:ind w:hanging="360"/>
        <w:contextualSpacing/>
      </w:pPr>
      <w:r>
        <w:t>Create graphs using astronomical color to determine properties of galaxies.</w:t>
      </w:r>
    </w:p>
    <w:p w14:paraId="4B2140AD" w14:textId="77777777" w:rsidR="00E255BD" w:rsidRDefault="00EC1CFB">
      <w:pPr>
        <w:pStyle w:val="Normal1"/>
        <w:numPr>
          <w:ilvl w:val="0"/>
          <w:numId w:val="7"/>
        </w:numPr>
        <w:ind w:hanging="360"/>
        <w:contextualSpacing/>
      </w:pPr>
      <w:r>
        <w:t xml:space="preserve">How can a CCD be used to make color images?  Design a scheme for a color CCD.  </w:t>
      </w:r>
    </w:p>
    <w:p w14:paraId="55BB003E" w14:textId="77777777" w:rsidR="00E255BD" w:rsidRDefault="00EC1CFB" w:rsidP="0084134C">
      <w:pPr>
        <w:pStyle w:val="Normal1"/>
        <w:numPr>
          <w:ilvl w:val="0"/>
          <w:numId w:val="7"/>
        </w:numPr>
        <w:ind w:hanging="360"/>
        <w:contextualSpacing/>
      </w:pPr>
      <w:r>
        <w:rPr>
          <w:highlight w:val="white"/>
        </w:rPr>
        <w:t>Information can be digitized (e.g., a picture stored as the values of an array of pixels); in this form, it can be stored reliably in computer memory and sent over long distances as a series of wave pulses.</w:t>
      </w:r>
      <w:bookmarkStart w:id="1" w:name="h.as32hn2ri1vz" w:colFirst="0" w:colLast="0"/>
      <w:bookmarkEnd w:id="1"/>
    </w:p>
    <w:p w14:paraId="02052ABC" w14:textId="77777777" w:rsidR="00AA7F1B" w:rsidRDefault="00AA7F1B" w:rsidP="0057796C">
      <w:pPr>
        <w:pStyle w:val="Heading1"/>
        <w:contextualSpacing w:val="0"/>
      </w:pPr>
      <w:r w:rsidRPr="0057796C">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51AD51A7" w14:textId="77777777" w:rsidTr="00EC1CFB">
        <w:tc>
          <w:tcPr>
            <w:tcW w:w="815" w:type="pct"/>
          </w:tcPr>
          <w:p w14:paraId="1B452A78" w14:textId="77777777" w:rsidR="002D3825" w:rsidRDefault="002D3825" w:rsidP="00EC1CFB">
            <w:pPr>
              <w:pStyle w:val="NoSpacing"/>
            </w:pPr>
            <w:bookmarkStart w:id="2" w:name="h.spv8pedaffkk" w:colFirst="0" w:colLast="0"/>
            <w:bookmarkEnd w:id="2"/>
            <w:r>
              <w:t>Grade Level</w:t>
            </w:r>
          </w:p>
        </w:tc>
        <w:tc>
          <w:tcPr>
            <w:tcW w:w="4185" w:type="pct"/>
            <w:tcMar>
              <w:top w:w="100" w:type="dxa"/>
              <w:left w:w="100" w:type="dxa"/>
              <w:bottom w:w="100" w:type="dxa"/>
              <w:right w:w="100" w:type="dxa"/>
            </w:tcMar>
          </w:tcPr>
          <w:p w14:paraId="477AEB9A" w14:textId="77777777" w:rsidR="002D3825" w:rsidRDefault="002D3825" w:rsidP="00EC1CFB">
            <w:pPr>
              <w:pStyle w:val="NoSpacing"/>
              <w:tabs>
                <w:tab w:val="left" w:pos="4320"/>
              </w:tabs>
            </w:pPr>
            <w:r>
              <w:t xml:space="preserve">Student Performance Expectations </w:t>
            </w:r>
          </w:p>
        </w:tc>
      </w:tr>
      <w:tr w:rsidR="002D3825" w14:paraId="2F734B14" w14:textId="77777777" w:rsidTr="00EC1CFB">
        <w:tc>
          <w:tcPr>
            <w:tcW w:w="815" w:type="pct"/>
          </w:tcPr>
          <w:p w14:paraId="0122644A" w14:textId="77777777" w:rsidR="002D3825" w:rsidRDefault="002D3825" w:rsidP="00EC1CFB">
            <w:pPr>
              <w:pStyle w:val="NoSpacing"/>
            </w:pPr>
            <w:r>
              <w:t>3-5</w:t>
            </w:r>
          </w:p>
        </w:tc>
        <w:tc>
          <w:tcPr>
            <w:tcW w:w="4185" w:type="pct"/>
            <w:tcMar>
              <w:top w:w="100" w:type="dxa"/>
              <w:left w:w="100" w:type="dxa"/>
              <w:bottom w:w="100" w:type="dxa"/>
              <w:right w:w="100" w:type="dxa"/>
            </w:tcMar>
          </w:tcPr>
          <w:p w14:paraId="1F6E1E96" w14:textId="77777777" w:rsidR="00E256F3" w:rsidRDefault="00E256F3" w:rsidP="00EC1CFB">
            <w:pPr>
              <w:pStyle w:val="NoSpacing"/>
            </w:pPr>
            <w:r>
              <w:t xml:space="preserve">4-PS4-3 </w:t>
            </w:r>
          </w:p>
          <w:tbl>
            <w:tblPr>
              <w:tblW w:w="0" w:type="auto"/>
              <w:tblBorders>
                <w:top w:val="nil"/>
                <w:left w:val="nil"/>
                <w:right w:val="nil"/>
              </w:tblBorders>
              <w:tblLook w:val="0000" w:firstRow="0" w:lastRow="0" w:firstColumn="0" w:lastColumn="0" w:noHBand="0" w:noVBand="0"/>
            </w:tblPr>
            <w:tblGrid>
              <w:gridCol w:w="705"/>
              <w:gridCol w:w="6501"/>
            </w:tblGrid>
            <w:tr w:rsidR="00E256F3" w14:paraId="5C7DE01D" w14:textId="77777777">
              <w:tc>
                <w:tcPr>
                  <w:tcW w:w="1500" w:type="dxa"/>
                  <w:tcMar>
                    <w:right w:w="300" w:type="nil"/>
                  </w:tcMar>
                </w:tcPr>
                <w:p w14:paraId="5E9820B5" w14:textId="77777777" w:rsidR="00E256F3" w:rsidRDefault="00E256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0D2B9849" w14:textId="77777777" w:rsidR="00E256F3" w:rsidRDefault="00E256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Generate and compare multiple solutions that use patterns to transfer information.</w:t>
                  </w:r>
                </w:p>
              </w:tc>
            </w:tr>
          </w:tbl>
          <w:p w14:paraId="640BB032" w14:textId="77777777" w:rsidR="002D3825" w:rsidRDefault="002D3825" w:rsidP="00EC1CFB">
            <w:pPr>
              <w:pStyle w:val="NoSpacing"/>
            </w:pPr>
          </w:p>
        </w:tc>
      </w:tr>
      <w:tr w:rsidR="002D3825" w14:paraId="0DE1C514" w14:textId="77777777" w:rsidTr="00EC1CFB">
        <w:tc>
          <w:tcPr>
            <w:tcW w:w="815" w:type="pct"/>
          </w:tcPr>
          <w:p w14:paraId="7513FABB" w14:textId="77777777" w:rsidR="002D3825" w:rsidRDefault="002D3825" w:rsidP="00EC1CFB">
            <w:pPr>
              <w:pStyle w:val="NoSpacing"/>
            </w:pPr>
            <w:r>
              <w:t>MS</w:t>
            </w:r>
          </w:p>
        </w:tc>
        <w:tc>
          <w:tcPr>
            <w:tcW w:w="4185" w:type="pct"/>
            <w:tcMar>
              <w:top w:w="100" w:type="dxa"/>
              <w:left w:w="100" w:type="dxa"/>
              <w:bottom w:w="100" w:type="dxa"/>
              <w:right w:w="100" w:type="dxa"/>
            </w:tcMar>
          </w:tcPr>
          <w:p w14:paraId="1A86C82E" w14:textId="77777777" w:rsidR="00E256F3" w:rsidRDefault="00E256F3" w:rsidP="00EC1CFB">
            <w:pPr>
              <w:pStyle w:val="NoSpacing"/>
            </w:pPr>
            <w:r>
              <w:t xml:space="preserve">MS-PS4-2 </w:t>
            </w:r>
          </w:p>
          <w:tbl>
            <w:tblPr>
              <w:tblW w:w="0" w:type="auto"/>
              <w:tblBorders>
                <w:top w:val="nil"/>
                <w:left w:val="nil"/>
                <w:right w:val="nil"/>
              </w:tblBorders>
              <w:tblLook w:val="0000" w:firstRow="0" w:lastRow="0" w:firstColumn="0" w:lastColumn="0" w:noHBand="0" w:noVBand="0"/>
            </w:tblPr>
            <w:tblGrid>
              <w:gridCol w:w="709"/>
              <w:gridCol w:w="6497"/>
            </w:tblGrid>
            <w:tr w:rsidR="00E256F3" w14:paraId="1A91E4E1" w14:textId="77777777">
              <w:tc>
                <w:tcPr>
                  <w:tcW w:w="1500" w:type="dxa"/>
                  <w:tcMar>
                    <w:right w:w="300" w:type="nil"/>
                  </w:tcMar>
                </w:tcPr>
                <w:p w14:paraId="3FBA4415" w14:textId="77777777" w:rsidR="00E256F3" w:rsidRDefault="00E256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67D2BC62" w14:textId="77777777" w:rsidR="00E256F3" w:rsidRDefault="00E256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6A064714" w14:textId="77777777" w:rsidR="002D3825" w:rsidRDefault="002D3825" w:rsidP="00EC1CFB">
            <w:pPr>
              <w:pStyle w:val="NoSpacing"/>
            </w:pPr>
          </w:p>
        </w:tc>
      </w:tr>
      <w:tr w:rsidR="002D3825" w14:paraId="02882ECA" w14:textId="77777777" w:rsidTr="00EC1CFB">
        <w:tc>
          <w:tcPr>
            <w:tcW w:w="815" w:type="pct"/>
          </w:tcPr>
          <w:p w14:paraId="29523894" w14:textId="77777777" w:rsidR="002D3825" w:rsidRDefault="002D3825" w:rsidP="00EC1CFB">
            <w:pPr>
              <w:pStyle w:val="NoSpacing"/>
            </w:pPr>
            <w:r>
              <w:t>HS</w:t>
            </w:r>
          </w:p>
        </w:tc>
        <w:tc>
          <w:tcPr>
            <w:tcW w:w="4185" w:type="pct"/>
            <w:tcMar>
              <w:top w:w="100" w:type="dxa"/>
              <w:left w:w="100" w:type="dxa"/>
              <w:bottom w:w="100" w:type="dxa"/>
              <w:right w:w="100" w:type="dxa"/>
            </w:tcMar>
          </w:tcPr>
          <w:p w14:paraId="525154F7" w14:textId="77777777" w:rsidR="00F67A29" w:rsidRDefault="00F67A29" w:rsidP="00EC1CFB">
            <w:pPr>
              <w:pStyle w:val="NoSpacing"/>
            </w:pPr>
            <w:r>
              <w:t xml:space="preserve">HS-PS4-5 </w:t>
            </w:r>
          </w:p>
          <w:tbl>
            <w:tblPr>
              <w:tblW w:w="0" w:type="auto"/>
              <w:tblBorders>
                <w:top w:val="nil"/>
                <w:left w:val="nil"/>
                <w:right w:val="nil"/>
              </w:tblBorders>
              <w:tblLook w:val="0000" w:firstRow="0" w:lastRow="0" w:firstColumn="0" w:lastColumn="0" w:noHBand="0" w:noVBand="0"/>
            </w:tblPr>
            <w:tblGrid>
              <w:gridCol w:w="695"/>
              <w:gridCol w:w="6511"/>
            </w:tblGrid>
            <w:tr w:rsidR="00F67A29" w14:paraId="40E1B4D6" w14:textId="77777777">
              <w:tc>
                <w:tcPr>
                  <w:tcW w:w="1500" w:type="dxa"/>
                  <w:tcMar>
                    <w:right w:w="300" w:type="nil"/>
                  </w:tcMar>
                </w:tcPr>
                <w:p w14:paraId="15356159" w14:textId="77777777" w:rsidR="00F67A29" w:rsidRDefault="00F67A29">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3BE45019" w14:textId="77777777" w:rsidR="00F67A29" w:rsidRDefault="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Communicate technical information about how some technological devices use the principles of wave behavior and wave interactions with matter to transmit and capture information and energy.</w:t>
                  </w:r>
                </w:p>
              </w:tc>
            </w:tr>
          </w:tbl>
          <w:p w14:paraId="2DE342D8" w14:textId="77777777" w:rsidR="002D3825" w:rsidRDefault="002D3825" w:rsidP="00EC1CFB">
            <w:pPr>
              <w:pStyle w:val="NoSpacing"/>
            </w:pPr>
          </w:p>
        </w:tc>
      </w:tr>
    </w:tbl>
    <w:p w14:paraId="3D77B873" w14:textId="77777777" w:rsidR="0057796C" w:rsidRDefault="0057796C" w:rsidP="0057796C">
      <w:pPr>
        <w:pStyle w:val="Normal1"/>
      </w:pPr>
      <w:bookmarkStart w:id="3" w:name="h.k749pkmha3uv" w:colFirst="0" w:colLast="0"/>
      <w:bookmarkEnd w:id="3"/>
    </w:p>
    <w:p w14:paraId="34EBEF0B" w14:textId="77777777" w:rsidR="004643C8" w:rsidRPr="0057796C" w:rsidRDefault="004643C8" w:rsidP="0057796C">
      <w:pPr>
        <w:pStyle w:val="Heading1"/>
        <w:contextualSpacing w:val="0"/>
        <w:rPr>
          <w:sz w:val="24"/>
        </w:rPr>
      </w:pPr>
      <w:r w:rsidRPr="0057796C">
        <w:rPr>
          <w:sz w:val="24"/>
        </w:rPr>
        <w:lastRenderedPageBreak/>
        <w:t>Related CCSSM</w:t>
      </w:r>
    </w:p>
    <w:tbl>
      <w:tblPr>
        <w:tblStyle w:val="TableGrid"/>
        <w:tblW w:w="9108" w:type="dxa"/>
        <w:tblLook w:val="04A0" w:firstRow="1" w:lastRow="0" w:firstColumn="1" w:lastColumn="0" w:noHBand="0" w:noVBand="1"/>
      </w:tblPr>
      <w:tblGrid>
        <w:gridCol w:w="1458"/>
        <w:gridCol w:w="7650"/>
      </w:tblGrid>
      <w:tr w:rsidR="004643C8" w14:paraId="6EC13FF8" w14:textId="77777777" w:rsidTr="0057796C">
        <w:tc>
          <w:tcPr>
            <w:tcW w:w="1458" w:type="dxa"/>
          </w:tcPr>
          <w:p w14:paraId="5A3E4C9D" w14:textId="77777777" w:rsidR="004643C8" w:rsidRDefault="004643C8" w:rsidP="004643C8">
            <w:pPr>
              <w:pStyle w:val="NoSpacing"/>
            </w:pPr>
            <w:r>
              <w:t>Grade Level</w:t>
            </w:r>
          </w:p>
        </w:tc>
        <w:tc>
          <w:tcPr>
            <w:tcW w:w="7650" w:type="dxa"/>
          </w:tcPr>
          <w:p w14:paraId="230E1826" w14:textId="77777777" w:rsidR="004643C8" w:rsidRDefault="004643C8" w:rsidP="004643C8">
            <w:pPr>
              <w:pStyle w:val="NoSpacing"/>
            </w:pPr>
            <w:r>
              <w:t>Student Performance Expectations</w:t>
            </w:r>
          </w:p>
        </w:tc>
      </w:tr>
      <w:tr w:rsidR="004643C8" w14:paraId="1C09C329" w14:textId="77777777" w:rsidTr="0057796C">
        <w:tc>
          <w:tcPr>
            <w:tcW w:w="1458" w:type="dxa"/>
          </w:tcPr>
          <w:p w14:paraId="06C008F4" w14:textId="77777777" w:rsidR="004643C8" w:rsidRDefault="004643C8" w:rsidP="004643C8">
            <w:pPr>
              <w:pStyle w:val="NoSpacing"/>
            </w:pPr>
            <w:r>
              <w:t>3-5</w:t>
            </w:r>
          </w:p>
        </w:tc>
        <w:tc>
          <w:tcPr>
            <w:tcW w:w="7650" w:type="dxa"/>
          </w:tcPr>
          <w:p w14:paraId="102435DC" w14:textId="77777777" w:rsidR="004643C8" w:rsidRPr="00FC3F99" w:rsidRDefault="004643C8" w:rsidP="004643C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5832FBC2" w14:textId="77777777" w:rsidR="004643C8" w:rsidRDefault="004643C8" w:rsidP="004643C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36F11C37" w14:textId="77777777" w:rsidR="004643C8" w:rsidRDefault="004643C8" w:rsidP="004643C8">
            <w:pPr>
              <w:pStyle w:val="NoSpacing"/>
              <w:rPr>
                <w:b/>
              </w:rPr>
            </w:pPr>
            <w:r w:rsidRPr="00FC3F99">
              <w:rPr>
                <w:b/>
              </w:rPr>
              <w:t>CCSS.MATH.</w:t>
            </w:r>
            <w:r>
              <w:rPr>
                <w:b/>
              </w:rPr>
              <w:t>CONTENT.4.G.A.1</w:t>
            </w:r>
          </w:p>
          <w:p w14:paraId="5AD4428B" w14:textId="77777777" w:rsidR="004643C8" w:rsidRPr="00A25F9A" w:rsidRDefault="004643C8" w:rsidP="004643C8">
            <w:pPr>
              <w:pStyle w:val="NoSpacing"/>
              <w:rPr>
                <w:rFonts w:ascii="Lato Light" w:hAnsi="Lato Light"/>
                <w:color w:val="202020"/>
                <w:sz w:val="25"/>
                <w:szCs w:val="25"/>
              </w:rPr>
            </w:pPr>
            <w:r>
              <w:t>Draw points, lines, line segments, rays, angles (right, acute, obtuse), and perpendicular and parallel lines. Identify these in two-dimensional figures.</w:t>
            </w:r>
          </w:p>
        </w:tc>
      </w:tr>
      <w:tr w:rsidR="004643C8" w14:paraId="39C9E3DF" w14:textId="77777777" w:rsidTr="0057796C">
        <w:tc>
          <w:tcPr>
            <w:tcW w:w="1458" w:type="dxa"/>
          </w:tcPr>
          <w:p w14:paraId="3D90CE9E" w14:textId="77777777" w:rsidR="004643C8" w:rsidRDefault="004643C8" w:rsidP="004643C8">
            <w:pPr>
              <w:pStyle w:val="NoSpacing"/>
            </w:pPr>
            <w:r>
              <w:t>MS</w:t>
            </w:r>
          </w:p>
        </w:tc>
        <w:tc>
          <w:tcPr>
            <w:tcW w:w="7650" w:type="dxa"/>
          </w:tcPr>
          <w:p w14:paraId="77534B40" w14:textId="77777777" w:rsidR="004643C8" w:rsidRPr="00FC3F99" w:rsidRDefault="004643C8" w:rsidP="004643C8">
            <w:pPr>
              <w:pStyle w:val="NoSpacing"/>
              <w:rPr>
                <w:b/>
              </w:rPr>
            </w:pPr>
            <w:r w:rsidRPr="00FC3F99">
              <w:rPr>
                <w:b/>
              </w:rPr>
              <w:t>CCSS.MATH.PRACTICE.MP2 Reason abstractly and quantitatively.</w:t>
            </w:r>
          </w:p>
          <w:p w14:paraId="517ADDDF" w14:textId="77777777" w:rsidR="004643C8" w:rsidRDefault="004643C8" w:rsidP="004643C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19E8528" w14:textId="77777777" w:rsidR="00ED0CC9" w:rsidRDefault="00ED0CC9" w:rsidP="00ED0CC9">
            <w:pPr>
              <w:pStyle w:val="NoSpacing"/>
              <w:rPr>
                <w:b/>
              </w:rPr>
            </w:pPr>
            <w:r w:rsidRPr="00FC3F99">
              <w:rPr>
                <w:b/>
              </w:rPr>
              <w:t>CCSS.MATH.</w:t>
            </w:r>
            <w:r>
              <w:rPr>
                <w:b/>
              </w:rPr>
              <w:t>CONTENT.6.RP.A.1 Ratios and Proportional Relationships</w:t>
            </w:r>
          </w:p>
          <w:p w14:paraId="696744DE" w14:textId="77777777" w:rsidR="00ED0CC9" w:rsidRPr="00ED0CC9" w:rsidRDefault="00ED0CC9" w:rsidP="004643C8">
            <w:pPr>
              <w:pStyle w:val="NoSpacing"/>
              <w:rPr>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tc>
      </w:tr>
      <w:tr w:rsidR="004643C8" w14:paraId="49AC9F5B" w14:textId="77777777" w:rsidTr="0057796C">
        <w:tc>
          <w:tcPr>
            <w:tcW w:w="1458" w:type="dxa"/>
          </w:tcPr>
          <w:p w14:paraId="1137B915" w14:textId="77777777" w:rsidR="004643C8" w:rsidRDefault="004643C8" w:rsidP="004643C8">
            <w:pPr>
              <w:pStyle w:val="NoSpacing"/>
            </w:pPr>
            <w:r>
              <w:t>HS</w:t>
            </w:r>
          </w:p>
        </w:tc>
        <w:tc>
          <w:tcPr>
            <w:tcW w:w="7650" w:type="dxa"/>
          </w:tcPr>
          <w:p w14:paraId="21C410A8" w14:textId="77777777" w:rsidR="004643C8" w:rsidRDefault="004643C8" w:rsidP="004643C8">
            <w:pPr>
              <w:pStyle w:val="NoSpacing"/>
              <w:rPr>
                <w:b/>
              </w:rPr>
            </w:pPr>
            <w:r w:rsidRPr="00FC3F99">
              <w:rPr>
                <w:b/>
              </w:rPr>
              <w:t>CCSS.MATH.</w:t>
            </w:r>
            <w:r>
              <w:rPr>
                <w:b/>
              </w:rPr>
              <w:t>CONTENT.HSA.SSE.A.1</w:t>
            </w:r>
          </w:p>
          <w:p w14:paraId="79BFAF15" w14:textId="77777777" w:rsidR="004643C8" w:rsidRDefault="004643C8" w:rsidP="004643C8">
            <w:pPr>
              <w:pStyle w:val="NoSpacing"/>
            </w:pPr>
            <w:r>
              <w:t>Interpret expressions that represent a quantity in terms of its context.</w:t>
            </w:r>
          </w:p>
        </w:tc>
      </w:tr>
    </w:tbl>
    <w:p w14:paraId="7E6A4118" w14:textId="77777777" w:rsidR="00E255BD" w:rsidRDefault="00E255BD" w:rsidP="0057796C">
      <w:pPr>
        <w:pStyle w:val="Normal1"/>
      </w:pPr>
      <w:bookmarkStart w:id="4" w:name="_GoBack"/>
      <w:bookmarkEnd w:id="4"/>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7796C"/>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E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2015-04-12T17:42:00Z</dcterms:modified>
</cp:coreProperties>
</file>