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A68953" w14:textId="77777777" w:rsidR="00E255BD" w:rsidRDefault="00EC1CFB" w:rsidP="00DA4170">
      <w:pPr>
        <w:pStyle w:val="Heading1"/>
        <w:spacing w:before="0"/>
        <w:contextualSpacing w:val="0"/>
      </w:pPr>
      <w:bookmarkStart w:id="0" w:name="h.94clnun4b0ux" w:colFirst="0" w:colLast="0"/>
      <w:bookmarkEnd w:id="0"/>
      <w:r>
        <w:t>Robotics</w:t>
      </w:r>
    </w:p>
    <w:p w14:paraId="6CEEEA93" w14:textId="77777777" w:rsidR="00E255BD" w:rsidRDefault="00EC1CFB">
      <w:pPr>
        <w:pStyle w:val="Normal1"/>
      </w:pPr>
      <w:r>
        <w:t>Novice</w:t>
      </w:r>
    </w:p>
    <w:p w14:paraId="24A9F6CD" w14:textId="77777777" w:rsidR="00E255BD" w:rsidRDefault="00EC1CFB">
      <w:pPr>
        <w:pStyle w:val="Normal1"/>
        <w:numPr>
          <w:ilvl w:val="0"/>
          <w:numId w:val="8"/>
        </w:numPr>
        <w:ind w:hanging="360"/>
        <w:contextualSpacing/>
      </w:pPr>
      <w:r>
        <w:t xml:space="preserve">All programming is composed of four ideas: variables, functions, logic, and loops.  </w:t>
      </w:r>
    </w:p>
    <w:p w14:paraId="276DDCFB" w14:textId="77777777" w:rsidR="00E255BD" w:rsidRDefault="00EC1CFB">
      <w:pPr>
        <w:pStyle w:val="Normal1"/>
        <w:numPr>
          <w:ilvl w:val="0"/>
          <w:numId w:val="8"/>
        </w:numPr>
        <w:ind w:hanging="360"/>
        <w:contextualSpacing/>
      </w:pPr>
      <w:r>
        <w:t xml:space="preserve">Create simple </w:t>
      </w:r>
      <w:proofErr w:type="spellStart"/>
      <w:r>
        <w:t>arduinos</w:t>
      </w:r>
      <w:proofErr w:type="spellEnd"/>
      <w:r>
        <w:t xml:space="preserve"> following directions or a kit, such as turning on lights in a pattern, or using thermoelectric sensors. </w:t>
      </w:r>
    </w:p>
    <w:p w14:paraId="3CC3601A" w14:textId="77777777" w:rsidR="00E255BD" w:rsidRDefault="00E255BD">
      <w:pPr>
        <w:pStyle w:val="Normal1"/>
      </w:pPr>
    </w:p>
    <w:p w14:paraId="2E4A93E6" w14:textId="77777777" w:rsidR="00E255BD" w:rsidRDefault="00EC1CFB">
      <w:pPr>
        <w:pStyle w:val="Normal1"/>
      </w:pPr>
      <w:r>
        <w:t>Intermediate</w:t>
      </w:r>
    </w:p>
    <w:p w14:paraId="7E1898D8" w14:textId="77777777" w:rsidR="00E255BD" w:rsidRDefault="00EC1CFB">
      <w:pPr>
        <w:pStyle w:val="Normal1"/>
        <w:numPr>
          <w:ilvl w:val="0"/>
          <w:numId w:val="8"/>
        </w:numPr>
        <w:ind w:hanging="360"/>
        <w:contextualSpacing/>
      </w:pPr>
      <w:r>
        <w:t xml:space="preserve">Create moderate </w:t>
      </w:r>
      <w:proofErr w:type="spellStart"/>
      <w:r>
        <w:t>arduinos</w:t>
      </w:r>
      <w:proofErr w:type="spellEnd"/>
      <w:r>
        <w:t xml:space="preserve"> following more complex directions, such as to sense an infant in a passenger seat, or with a motion sensor to turn on a device.  </w:t>
      </w:r>
    </w:p>
    <w:p w14:paraId="10ACA2D0" w14:textId="77777777" w:rsidR="00E255BD" w:rsidRDefault="00E255BD">
      <w:pPr>
        <w:pStyle w:val="Normal1"/>
      </w:pPr>
    </w:p>
    <w:p w14:paraId="49EEC148" w14:textId="77777777" w:rsidR="00E255BD" w:rsidRDefault="00EC1CFB">
      <w:pPr>
        <w:pStyle w:val="Normal1"/>
      </w:pPr>
      <w:r>
        <w:t>Expert</w:t>
      </w:r>
    </w:p>
    <w:p w14:paraId="6779B814" w14:textId="77777777" w:rsidR="00E255BD" w:rsidRDefault="00EC1CFB">
      <w:pPr>
        <w:pStyle w:val="Normal1"/>
        <w:numPr>
          <w:ilvl w:val="0"/>
          <w:numId w:val="8"/>
        </w:numPr>
        <w:ind w:hanging="360"/>
        <w:contextualSpacing/>
      </w:pPr>
      <w:r>
        <w:t xml:space="preserve">Science and engineering complement each other in the cycle known as research and development (R&amp;D). </w:t>
      </w:r>
    </w:p>
    <w:p w14:paraId="2E6F1F1A" w14:textId="205861A6" w:rsidR="00E255BD" w:rsidRDefault="00EC1CFB" w:rsidP="00CD46E4">
      <w:pPr>
        <w:pStyle w:val="Normal1"/>
        <w:numPr>
          <w:ilvl w:val="0"/>
          <w:numId w:val="8"/>
        </w:numPr>
        <w:ind w:hanging="360"/>
        <w:contextualSpacing/>
      </w:pPr>
      <w:r>
        <w:t xml:space="preserve">Create complex </w:t>
      </w:r>
      <w:proofErr w:type="spellStart"/>
      <w:r>
        <w:t>arduinos</w:t>
      </w:r>
      <w:proofErr w:type="spellEnd"/>
      <w:r>
        <w:t xml:space="preserve"> from scratch, such as to detect when your laundry machine is done, or to control a hovercraft.  </w:t>
      </w:r>
    </w:p>
    <w:p w14:paraId="7808F073" w14:textId="77777777" w:rsidR="00AA7F1B" w:rsidRDefault="00AA7F1B" w:rsidP="00DA4170">
      <w:pPr>
        <w:pStyle w:val="Heading1"/>
        <w:contextualSpacing w:val="0"/>
      </w:pPr>
      <w:bookmarkStart w:id="1" w:name="h.voz8d3cl67g7" w:colFirst="0" w:colLast="0"/>
      <w:bookmarkEnd w:id="1"/>
      <w:r w:rsidRPr="00DA4170">
        <w:rPr>
          <w:sz w:val="24"/>
        </w:rPr>
        <w:t>Related NGSS</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42"/>
        <w:gridCol w:w="7406"/>
      </w:tblGrid>
      <w:tr w:rsidR="002D3825" w:rsidRPr="00ED414D" w14:paraId="755BBEC4" w14:textId="77777777" w:rsidTr="00EC1CFB">
        <w:tc>
          <w:tcPr>
            <w:tcW w:w="815" w:type="pct"/>
          </w:tcPr>
          <w:p w14:paraId="09FD5AF9" w14:textId="77777777" w:rsidR="002D3825" w:rsidRPr="00ED414D" w:rsidRDefault="002D3825" w:rsidP="00EC1CFB">
            <w:pPr>
              <w:pStyle w:val="NoSpacing"/>
              <w:rPr>
                <w:rFonts w:asciiTheme="minorHAnsi" w:hAnsiTheme="minorHAnsi"/>
              </w:rPr>
            </w:pPr>
            <w:r w:rsidRPr="00ED414D">
              <w:rPr>
                <w:rFonts w:asciiTheme="minorHAnsi" w:hAnsiTheme="minorHAnsi"/>
              </w:rPr>
              <w:t>Grade Level</w:t>
            </w:r>
          </w:p>
        </w:tc>
        <w:tc>
          <w:tcPr>
            <w:tcW w:w="4185" w:type="pct"/>
            <w:tcMar>
              <w:top w:w="100" w:type="dxa"/>
              <w:left w:w="100" w:type="dxa"/>
              <w:bottom w:w="100" w:type="dxa"/>
              <w:right w:w="100" w:type="dxa"/>
            </w:tcMar>
          </w:tcPr>
          <w:p w14:paraId="5797CB36" w14:textId="77777777" w:rsidR="002D3825" w:rsidRPr="00ED414D" w:rsidRDefault="002D3825" w:rsidP="00EC1CFB">
            <w:pPr>
              <w:pStyle w:val="NoSpacing"/>
              <w:tabs>
                <w:tab w:val="left" w:pos="4320"/>
              </w:tabs>
              <w:rPr>
                <w:rFonts w:asciiTheme="minorHAnsi" w:hAnsiTheme="minorHAnsi"/>
              </w:rPr>
            </w:pPr>
            <w:r w:rsidRPr="00ED414D">
              <w:rPr>
                <w:rFonts w:asciiTheme="minorHAnsi" w:hAnsiTheme="minorHAnsi"/>
              </w:rPr>
              <w:t xml:space="preserve">Student Performance Expectations </w:t>
            </w:r>
          </w:p>
        </w:tc>
      </w:tr>
      <w:tr w:rsidR="002D3825" w:rsidRPr="00ED414D" w14:paraId="5CCF72B7" w14:textId="77777777" w:rsidTr="00EC1CFB">
        <w:tc>
          <w:tcPr>
            <w:tcW w:w="815" w:type="pct"/>
          </w:tcPr>
          <w:p w14:paraId="5BB25179" w14:textId="77777777" w:rsidR="002D3825" w:rsidRPr="00ED414D" w:rsidRDefault="002D3825" w:rsidP="00EC1CFB">
            <w:pPr>
              <w:pStyle w:val="NoSpacing"/>
              <w:rPr>
                <w:rFonts w:asciiTheme="minorHAnsi" w:hAnsiTheme="minorHAnsi"/>
              </w:rPr>
            </w:pPr>
            <w:r w:rsidRPr="00ED414D">
              <w:rPr>
                <w:rFonts w:asciiTheme="minorHAnsi" w:hAnsiTheme="minorHAnsi"/>
              </w:rPr>
              <w:t>3-5</w:t>
            </w:r>
          </w:p>
        </w:tc>
        <w:tc>
          <w:tcPr>
            <w:tcW w:w="4185" w:type="pct"/>
            <w:tcMar>
              <w:top w:w="100" w:type="dxa"/>
              <w:left w:w="100" w:type="dxa"/>
              <w:bottom w:w="100" w:type="dxa"/>
              <w:right w:w="100" w:type="dxa"/>
            </w:tcMar>
          </w:tcPr>
          <w:tbl>
            <w:tblPr>
              <w:tblW w:w="0" w:type="auto"/>
              <w:tblBorders>
                <w:top w:val="nil"/>
                <w:left w:val="nil"/>
                <w:right w:val="nil"/>
              </w:tblBorders>
              <w:tblLook w:val="0000" w:firstRow="0" w:lastRow="0" w:firstColumn="0" w:lastColumn="0" w:noHBand="0" w:noVBand="0"/>
            </w:tblPr>
            <w:tblGrid>
              <w:gridCol w:w="7206"/>
            </w:tblGrid>
            <w:tr w:rsidR="00E10077" w:rsidRPr="00ED414D" w14:paraId="68EA6E2C" w14:textId="77777777" w:rsidTr="00B93F1D">
              <w:tc>
                <w:tcPr>
                  <w:tcW w:w="7206" w:type="dxa"/>
                  <w:tcMar>
                    <w:right w:w="300" w:type="nil"/>
                  </w:tcMar>
                </w:tcPr>
                <w:tbl>
                  <w:tblPr>
                    <w:tblW w:w="0" w:type="auto"/>
                    <w:tblBorders>
                      <w:top w:val="nil"/>
                      <w:left w:val="nil"/>
                      <w:right w:val="nil"/>
                    </w:tblBorders>
                    <w:tblCellMar>
                      <w:left w:w="0" w:type="dxa"/>
                      <w:right w:w="0" w:type="dxa"/>
                    </w:tblCellMar>
                    <w:tblLook w:val="0000" w:firstRow="0" w:lastRow="0" w:firstColumn="0" w:lastColumn="0" w:noHBand="0" w:noVBand="0"/>
                  </w:tblPr>
                  <w:tblGrid>
                    <w:gridCol w:w="920"/>
                    <w:gridCol w:w="6070"/>
                  </w:tblGrid>
                  <w:tr w:rsidR="00E10077" w:rsidRPr="00ED414D" w14:paraId="75958A95" w14:textId="77777777">
                    <w:tc>
                      <w:tcPr>
                        <w:tcW w:w="1500" w:type="dxa"/>
                        <w:tcBorders>
                          <w:top w:val="nil"/>
                          <w:left w:val="nil"/>
                          <w:bottom w:val="nil"/>
                          <w:right w:val="nil"/>
                        </w:tcBorders>
                        <w:tcMar>
                          <w:right w:w="300" w:type="nil"/>
                        </w:tcMar>
                      </w:tcPr>
                      <w:p w14:paraId="62EC7AED" w14:textId="77777777" w:rsidR="00E10077" w:rsidRPr="00ED414D" w:rsidRDefault="00E10077">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3-5-ETS1-1.</w:t>
                        </w:r>
                      </w:p>
                    </w:tc>
                    <w:tc>
                      <w:tcPr>
                        <w:tcW w:w="14760" w:type="dxa"/>
                        <w:tcBorders>
                          <w:top w:val="nil"/>
                          <w:left w:val="nil"/>
                          <w:bottom w:val="nil"/>
                          <w:right w:val="nil"/>
                        </w:tcBorders>
                        <w:shd w:val="clear" w:color="auto" w:fill="FFFFFF"/>
                        <w:tcMar>
                          <w:bottom w:w="200" w:type="nil"/>
                        </w:tcMar>
                      </w:tcPr>
                      <w:p w14:paraId="2534CC7C" w14:textId="77777777" w:rsidR="00E10077" w:rsidRPr="00ED414D" w:rsidRDefault="00E10077">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Define a simple design problem reflecting a need or a want that includes specified criteria for success and constraints on materials, time, or cost.</w:t>
                        </w:r>
                      </w:p>
                    </w:tc>
                  </w:tr>
                  <w:tr w:rsidR="00E10077" w:rsidRPr="00ED414D" w14:paraId="0687C8F8" w14:textId="77777777">
                    <w:tblPrEx>
                      <w:tblBorders>
                        <w:top w:val="none" w:sz="0" w:space="0" w:color="auto"/>
                      </w:tblBorders>
                    </w:tblPrEx>
                    <w:tc>
                      <w:tcPr>
                        <w:tcW w:w="1500" w:type="dxa"/>
                        <w:tcBorders>
                          <w:top w:val="nil"/>
                          <w:left w:val="nil"/>
                          <w:bottom w:val="nil"/>
                          <w:right w:val="nil"/>
                        </w:tcBorders>
                        <w:tcMar>
                          <w:right w:w="300" w:type="nil"/>
                        </w:tcMar>
                      </w:tcPr>
                      <w:p w14:paraId="04F278A8" w14:textId="77777777" w:rsidR="00E10077" w:rsidRPr="00ED414D" w:rsidRDefault="00E10077">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3-5-ETS1-2.</w:t>
                        </w:r>
                      </w:p>
                    </w:tc>
                    <w:tc>
                      <w:tcPr>
                        <w:tcW w:w="14760" w:type="dxa"/>
                        <w:tcBorders>
                          <w:top w:val="nil"/>
                          <w:left w:val="nil"/>
                          <w:bottom w:val="nil"/>
                          <w:right w:val="nil"/>
                        </w:tcBorders>
                        <w:shd w:val="clear" w:color="auto" w:fill="FFFFFF"/>
                        <w:tcMar>
                          <w:bottom w:w="200" w:type="nil"/>
                        </w:tcMar>
                      </w:tcPr>
                      <w:p w14:paraId="650B88B1" w14:textId="77777777" w:rsidR="00E10077" w:rsidRPr="00ED414D" w:rsidRDefault="00E10077">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Generate and compare multiple possible solutions to a problem based on how well each is likely to meet the criteria and constraints of the problem.</w:t>
                        </w:r>
                      </w:p>
                    </w:tc>
                  </w:tr>
                  <w:tr w:rsidR="00E10077" w:rsidRPr="00ED414D" w14:paraId="5523B688" w14:textId="77777777">
                    <w:tc>
                      <w:tcPr>
                        <w:tcW w:w="1500" w:type="dxa"/>
                        <w:tcBorders>
                          <w:top w:val="nil"/>
                          <w:left w:val="nil"/>
                          <w:bottom w:val="nil"/>
                          <w:right w:val="nil"/>
                        </w:tcBorders>
                        <w:tcMar>
                          <w:right w:w="300" w:type="nil"/>
                        </w:tcMar>
                      </w:tcPr>
                      <w:p w14:paraId="22357D54" w14:textId="77777777" w:rsidR="00E10077" w:rsidRPr="00ED414D" w:rsidRDefault="00E10077">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3-5-ETS1-3.</w:t>
                        </w:r>
                      </w:p>
                    </w:tc>
                    <w:tc>
                      <w:tcPr>
                        <w:tcW w:w="14760" w:type="dxa"/>
                        <w:tcBorders>
                          <w:top w:val="nil"/>
                          <w:left w:val="nil"/>
                          <w:bottom w:val="nil"/>
                          <w:right w:val="nil"/>
                        </w:tcBorders>
                        <w:shd w:val="clear" w:color="auto" w:fill="FFFFFF"/>
                        <w:tcMar>
                          <w:bottom w:w="200" w:type="nil"/>
                        </w:tcMar>
                      </w:tcPr>
                      <w:p w14:paraId="7915D1EF" w14:textId="77777777" w:rsidR="00E10077" w:rsidRPr="00ED414D" w:rsidRDefault="00E10077">
                        <w:pPr>
                          <w:widowControl w:val="0"/>
                          <w:autoSpaceDE w:val="0"/>
                          <w:autoSpaceDN w:val="0"/>
                          <w:adjustRightInd w:val="0"/>
                          <w:rPr>
                            <w:rFonts w:asciiTheme="minorHAnsi" w:hAnsiTheme="minorHAnsi" w:cs="Arial"/>
                            <w:bCs/>
                            <w:color w:val="343434"/>
                            <w:sz w:val="22"/>
                            <w:szCs w:val="22"/>
                          </w:rPr>
                        </w:pPr>
                        <w:r w:rsidRPr="00ED414D">
                          <w:rPr>
                            <w:rFonts w:asciiTheme="minorHAnsi" w:hAnsiTheme="minorHAnsi" w:cs="Arial"/>
                            <w:bCs/>
                            <w:color w:val="343434"/>
                            <w:sz w:val="22"/>
                            <w:szCs w:val="22"/>
                          </w:rPr>
                          <w:t>Plan and carry out fair tests in which variables are controlled and failure points are considered to identify aspects of a model or prototype that can be improved.</w:t>
                        </w:r>
                      </w:p>
                    </w:tc>
                  </w:tr>
                </w:tbl>
                <w:p w14:paraId="561E7139" w14:textId="77777777" w:rsidR="00E10077" w:rsidRPr="00ED414D" w:rsidRDefault="00E10077">
                  <w:pPr>
                    <w:widowControl w:val="0"/>
                    <w:autoSpaceDE w:val="0"/>
                    <w:autoSpaceDN w:val="0"/>
                    <w:adjustRightInd w:val="0"/>
                    <w:rPr>
                      <w:rFonts w:asciiTheme="minorHAnsi" w:hAnsiTheme="minorHAnsi" w:cs="Arial"/>
                      <w:b/>
                      <w:bCs/>
                      <w:color w:val="343434"/>
                      <w:sz w:val="22"/>
                      <w:szCs w:val="22"/>
                    </w:rPr>
                  </w:pPr>
                </w:p>
              </w:tc>
            </w:tr>
          </w:tbl>
          <w:p w14:paraId="04917F5B" w14:textId="77777777" w:rsidR="002D3825" w:rsidRPr="00ED414D" w:rsidRDefault="002D3825" w:rsidP="00EC1CFB">
            <w:pPr>
              <w:pStyle w:val="NoSpacing"/>
              <w:rPr>
                <w:rFonts w:asciiTheme="minorHAnsi" w:hAnsiTheme="minorHAnsi"/>
              </w:rPr>
            </w:pPr>
          </w:p>
        </w:tc>
      </w:tr>
      <w:tr w:rsidR="002D3825" w:rsidRPr="00ED414D" w14:paraId="3DA4DE57" w14:textId="77777777" w:rsidTr="00EC1CFB">
        <w:tc>
          <w:tcPr>
            <w:tcW w:w="815" w:type="pct"/>
          </w:tcPr>
          <w:p w14:paraId="1D70BA36" w14:textId="77777777" w:rsidR="002D3825" w:rsidRPr="00ED414D" w:rsidRDefault="002D3825" w:rsidP="00EC1CFB">
            <w:pPr>
              <w:pStyle w:val="NoSpacing"/>
              <w:rPr>
                <w:rFonts w:asciiTheme="minorHAnsi" w:hAnsiTheme="minorHAnsi"/>
              </w:rPr>
            </w:pPr>
            <w:r w:rsidRPr="00ED414D">
              <w:rPr>
                <w:rFonts w:asciiTheme="minorHAnsi" w:hAnsiTheme="minorHAnsi"/>
              </w:rPr>
              <w:t>MS</w:t>
            </w:r>
          </w:p>
        </w:tc>
        <w:tc>
          <w:tcPr>
            <w:tcW w:w="4185" w:type="pct"/>
            <w:tcMar>
              <w:top w:w="100" w:type="dxa"/>
              <w:left w:w="100" w:type="dxa"/>
              <w:bottom w:w="100" w:type="dxa"/>
              <w:right w:w="100" w:type="dxa"/>
            </w:tcMar>
          </w:tcPr>
          <w:tbl>
            <w:tblPr>
              <w:tblW w:w="0" w:type="auto"/>
              <w:tblBorders>
                <w:top w:val="nil"/>
                <w:left w:val="nil"/>
                <w:right w:val="nil"/>
              </w:tblBorders>
              <w:tblCellMar>
                <w:left w:w="0" w:type="dxa"/>
                <w:right w:w="0" w:type="dxa"/>
              </w:tblCellMar>
              <w:tblLook w:val="0000" w:firstRow="0" w:lastRow="0" w:firstColumn="0" w:lastColumn="0" w:noHBand="0" w:noVBand="0"/>
            </w:tblPr>
            <w:tblGrid>
              <w:gridCol w:w="921"/>
              <w:gridCol w:w="6285"/>
            </w:tblGrid>
            <w:tr w:rsidR="0005514F" w:rsidRPr="00ED414D" w14:paraId="521017F7" w14:textId="77777777" w:rsidTr="00B93F1D">
              <w:tc>
                <w:tcPr>
                  <w:tcW w:w="1500" w:type="dxa"/>
                  <w:tcBorders>
                    <w:top w:val="nil"/>
                    <w:left w:val="nil"/>
                    <w:bottom w:val="nil"/>
                    <w:right w:val="nil"/>
                  </w:tcBorders>
                  <w:tcMar>
                    <w:right w:w="300" w:type="nil"/>
                  </w:tcMar>
                </w:tcPr>
                <w:p w14:paraId="08A47A65" w14:textId="77777777" w:rsidR="0005514F" w:rsidRPr="00ED414D" w:rsidRDefault="0005514F" w:rsidP="00B93F1D">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MS-ETS1-1.</w:t>
                  </w:r>
                </w:p>
              </w:tc>
              <w:tc>
                <w:tcPr>
                  <w:tcW w:w="14760" w:type="dxa"/>
                  <w:tcBorders>
                    <w:top w:val="nil"/>
                    <w:left w:val="nil"/>
                    <w:bottom w:val="nil"/>
                    <w:right w:val="nil"/>
                  </w:tcBorders>
                  <w:shd w:val="clear" w:color="auto" w:fill="FFFFFF"/>
                  <w:tcMar>
                    <w:bottom w:w="200" w:type="nil"/>
                  </w:tcMar>
                </w:tcPr>
                <w:p w14:paraId="28F820D3" w14:textId="77777777" w:rsidR="0005514F" w:rsidRPr="00ED414D" w:rsidRDefault="0005514F" w:rsidP="00B93F1D">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r>
            <w:tr w:rsidR="0005514F" w:rsidRPr="00ED414D" w14:paraId="0463F4A5" w14:textId="77777777" w:rsidTr="00B93F1D">
              <w:tblPrEx>
                <w:tblBorders>
                  <w:top w:val="none" w:sz="0" w:space="0" w:color="auto"/>
                </w:tblBorders>
              </w:tblPrEx>
              <w:tc>
                <w:tcPr>
                  <w:tcW w:w="1500" w:type="dxa"/>
                  <w:tcBorders>
                    <w:top w:val="nil"/>
                    <w:left w:val="nil"/>
                    <w:bottom w:val="nil"/>
                    <w:right w:val="nil"/>
                  </w:tcBorders>
                  <w:tcMar>
                    <w:right w:w="300" w:type="nil"/>
                  </w:tcMar>
                </w:tcPr>
                <w:p w14:paraId="4E744C5A" w14:textId="77777777" w:rsidR="0005514F" w:rsidRPr="00ED414D" w:rsidRDefault="0005514F" w:rsidP="00B93F1D">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MS-ETS1-2.</w:t>
                  </w:r>
                </w:p>
              </w:tc>
              <w:tc>
                <w:tcPr>
                  <w:tcW w:w="14760" w:type="dxa"/>
                  <w:tcBorders>
                    <w:top w:val="nil"/>
                    <w:left w:val="nil"/>
                    <w:bottom w:val="nil"/>
                    <w:right w:val="nil"/>
                  </w:tcBorders>
                  <w:shd w:val="clear" w:color="auto" w:fill="FFFFFF"/>
                  <w:tcMar>
                    <w:bottom w:w="200" w:type="nil"/>
                  </w:tcMar>
                </w:tcPr>
                <w:p w14:paraId="5EA1E891" w14:textId="77777777" w:rsidR="0005514F" w:rsidRPr="00ED414D" w:rsidRDefault="0005514F" w:rsidP="00B93F1D">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Evaluate competing design solutions using a systematic process to determine how well they meet the criteria and constraints of the problem.</w:t>
                  </w:r>
                </w:p>
              </w:tc>
            </w:tr>
            <w:tr w:rsidR="0005514F" w:rsidRPr="00ED414D" w14:paraId="07308B79" w14:textId="77777777" w:rsidTr="00B93F1D">
              <w:tblPrEx>
                <w:tblBorders>
                  <w:top w:val="none" w:sz="0" w:space="0" w:color="auto"/>
                </w:tblBorders>
              </w:tblPrEx>
              <w:tc>
                <w:tcPr>
                  <w:tcW w:w="1500" w:type="dxa"/>
                  <w:tcBorders>
                    <w:top w:val="nil"/>
                    <w:left w:val="nil"/>
                    <w:bottom w:val="nil"/>
                    <w:right w:val="nil"/>
                  </w:tcBorders>
                  <w:tcMar>
                    <w:right w:w="300" w:type="nil"/>
                  </w:tcMar>
                </w:tcPr>
                <w:p w14:paraId="09AD1BFC" w14:textId="77777777" w:rsidR="0005514F" w:rsidRPr="00ED414D" w:rsidRDefault="0005514F" w:rsidP="00B93F1D">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MS-ETS1-3.</w:t>
                  </w:r>
                </w:p>
              </w:tc>
              <w:tc>
                <w:tcPr>
                  <w:tcW w:w="14760" w:type="dxa"/>
                  <w:tcBorders>
                    <w:top w:val="nil"/>
                    <w:left w:val="nil"/>
                    <w:bottom w:val="nil"/>
                    <w:right w:val="nil"/>
                  </w:tcBorders>
                  <w:shd w:val="clear" w:color="auto" w:fill="FFFFFF"/>
                  <w:tcMar>
                    <w:bottom w:w="200" w:type="nil"/>
                  </w:tcMar>
                </w:tcPr>
                <w:p w14:paraId="5117554F" w14:textId="77777777" w:rsidR="0005514F" w:rsidRPr="00ED414D" w:rsidRDefault="0005514F" w:rsidP="00B93F1D">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Analyze data from tests to determine similarities and differences among several design solutions to identify the best characteristics of each that can be combined into a new solution to better meet the criteria for success.</w:t>
                  </w:r>
                </w:p>
              </w:tc>
            </w:tr>
            <w:tr w:rsidR="0005514F" w:rsidRPr="00ED414D" w14:paraId="4D6C82DF" w14:textId="77777777" w:rsidTr="00B93F1D">
              <w:tc>
                <w:tcPr>
                  <w:tcW w:w="1500" w:type="dxa"/>
                  <w:tcBorders>
                    <w:top w:val="nil"/>
                    <w:left w:val="nil"/>
                    <w:bottom w:val="nil"/>
                    <w:right w:val="nil"/>
                  </w:tcBorders>
                  <w:tcMar>
                    <w:right w:w="300" w:type="nil"/>
                  </w:tcMar>
                </w:tcPr>
                <w:p w14:paraId="6C635747" w14:textId="77777777" w:rsidR="0005514F" w:rsidRPr="00ED414D" w:rsidRDefault="0005514F" w:rsidP="00B93F1D">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MS-ETS1-4.</w:t>
                  </w:r>
                </w:p>
              </w:tc>
              <w:tc>
                <w:tcPr>
                  <w:tcW w:w="14760" w:type="dxa"/>
                  <w:tcBorders>
                    <w:top w:val="nil"/>
                    <w:left w:val="nil"/>
                    <w:bottom w:val="nil"/>
                    <w:right w:val="nil"/>
                  </w:tcBorders>
                  <w:shd w:val="clear" w:color="auto" w:fill="FFFFFF"/>
                  <w:tcMar>
                    <w:bottom w:w="200" w:type="nil"/>
                  </w:tcMar>
                </w:tcPr>
                <w:p w14:paraId="3A183315" w14:textId="77777777" w:rsidR="0005514F" w:rsidRPr="00ED414D" w:rsidRDefault="0005514F" w:rsidP="00B93F1D">
                  <w:pPr>
                    <w:widowControl w:val="0"/>
                    <w:autoSpaceDE w:val="0"/>
                    <w:autoSpaceDN w:val="0"/>
                    <w:adjustRightInd w:val="0"/>
                    <w:rPr>
                      <w:rFonts w:asciiTheme="minorHAnsi" w:hAnsiTheme="minorHAnsi" w:cs="Arial"/>
                      <w:bCs/>
                      <w:color w:val="343434"/>
                      <w:sz w:val="22"/>
                      <w:szCs w:val="22"/>
                    </w:rPr>
                  </w:pPr>
                  <w:r w:rsidRPr="00ED414D">
                    <w:rPr>
                      <w:rFonts w:asciiTheme="minorHAnsi" w:hAnsiTheme="minorHAnsi" w:cs="Arial"/>
                      <w:bCs/>
                      <w:color w:val="343434"/>
                      <w:sz w:val="22"/>
                      <w:szCs w:val="22"/>
                    </w:rPr>
                    <w:t xml:space="preserve">Develop a model to generate data for iterative testing and modification of a proposed object, tool, or process such that an </w:t>
                  </w:r>
                  <w:r w:rsidRPr="00ED414D">
                    <w:rPr>
                      <w:rFonts w:asciiTheme="minorHAnsi" w:hAnsiTheme="minorHAnsi" w:cs="Arial"/>
                      <w:bCs/>
                      <w:color w:val="343434"/>
                      <w:sz w:val="22"/>
                      <w:szCs w:val="22"/>
                    </w:rPr>
                    <w:lastRenderedPageBreak/>
                    <w:t>optimal design can be achieved.</w:t>
                  </w:r>
                </w:p>
              </w:tc>
            </w:tr>
          </w:tbl>
          <w:p w14:paraId="56E58179" w14:textId="77777777" w:rsidR="002D3825" w:rsidRPr="00ED414D" w:rsidRDefault="002D3825" w:rsidP="00EC1CFB">
            <w:pPr>
              <w:pStyle w:val="NoSpacing"/>
              <w:rPr>
                <w:rFonts w:asciiTheme="minorHAnsi" w:hAnsiTheme="minorHAnsi"/>
              </w:rPr>
            </w:pPr>
          </w:p>
        </w:tc>
      </w:tr>
      <w:tr w:rsidR="002D3825" w:rsidRPr="00ED414D" w14:paraId="659A98C5" w14:textId="77777777" w:rsidTr="00EC1CFB">
        <w:tc>
          <w:tcPr>
            <w:tcW w:w="815" w:type="pct"/>
          </w:tcPr>
          <w:p w14:paraId="78F29235" w14:textId="77777777" w:rsidR="002D3825" w:rsidRPr="00ED414D" w:rsidRDefault="002D3825" w:rsidP="00EC1CFB">
            <w:pPr>
              <w:pStyle w:val="NoSpacing"/>
              <w:rPr>
                <w:rFonts w:asciiTheme="minorHAnsi" w:hAnsiTheme="minorHAnsi"/>
              </w:rPr>
            </w:pPr>
            <w:r w:rsidRPr="00ED414D">
              <w:rPr>
                <w:rFonts w:asciiTheme="minorHAnsi" w:hAnsiTheme="minorHAnsi"/>
              </w:rPr>
              <w:lastRenderedPageBreak/>
              <w:t>HS</w:t>
            </w:r>
          </w:p>
        </w:tc>
        <w:tc>
          <w:tcPr>
            <w:tcW w:w="4185" w:type="pct"/>
            <w:tcMar>
              <w:top w:w="100" w:type="dxa"/>
              <w:left w:w="100" w:type="dxa"/>
              <w:bottom w:w="100" w:type="dxa"/>
              <w:right w:w="100" w:type="dxa"/>
            </w:tcMar>
          </w:tcPr>
          <w:tbl>
            <w:tblPr>
              <w:tblW w:w="0" w:type="auto"/>
              <w:tblBorders>
                <w:top w:val="nil"/>
                <w:left w:val="nil"/>
                <w:right w:val="nil"/>
              </w:tblBorders>
              <w:tblLook w:val="0000" w:firstRow="0" w:lastRow="0" w:firstColumn="0" w:lastColumn="0" w:noHBand="0" w:noVBand="0"/>
            </w:tblPr>
            <w:tblGrid>
              <w:gridCol w:w="7206"/>
            </w:tblGrid>
            <w:tr w:rsidR="0005514F" w:rsidRPr="00ED414D" w14:paraId="138BF131" w14:textId="77777777" w:rsidTr="00B93F1D">
              <w:tc>
                <w:tcPr>
                  <w:tcW w:w="7206" w:type="dxa"/>
                  <w:tcMar>
                    <w:right w:w="300" w:type="nil"/>
                  </w:tcMar>
                </w:tcPr>
                <w:tbl>
                  <w:tblPr>
                    <w:tblW w:w="0" w:type="auto"/>
                    <w:tblBorders>
                      <w:top w:val="nil"/>
                      <w:left w:val="nil"/>
                      <w:right w:val="nil"/>
                    </w:tblBorders>
                    <w:tblCellMar>
                      <w:left w:w="0" w:type="dxa"/>
                      <w:right w:w="0" w:type="dxa"/>
                    </w:tblCellMar>
                    <w:tblLook w:val="0000" w:firstRow="0" w:lastRow="0" w:firstColumn="0" w:lastColumn="0" w:noHBand="0" w:noVBand="0"/>
                  </w:tblPr>
                  <w:tblGrid>
                    <w:gridCol w:w="907"/>
                    <w:gridCol w:w="6083"/>
                  </w:tblGrid>
                  <w:tr w:rsidR="0005514F" w:rsidRPr="00ED414D" w14:paraId="5124826C" w14:textId="77777777">
                    <w:tc>
                      <w:tcPr>
                        <w:tcW w:w="1500" w:type="dxa"/>
                        <w:tcBorders>
                          <w:top w:val="nil"/>
                          <w:left w:val="nil"/>
                          <w:bottom w:val="nil"/>
                          <w:right w:val="nil"/>
                        </w:tcBorders>
                        <w:tcMar>
                          <w:right w:w="300" w:type="nil"/>
                        </w:tcMar>
                      </w:tcPr>
                      <w:p w14:paraId="0CDFFCF5" w14:textId="77777777" w:rsidR="0005514F" w:rsidRPr="00ED414D" w:rsidRDefault="0005514F">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HS-ETS1-1.</w:t>
                        </w:r>
                      </w:p>
                    </w:tc>
                    <w:tc>
                      <w:tcPr>
                        <w:tcW w:w="14760" w:type="dxa"/>
                        <w:tcBorders>
                          <w:top w:val="nil"/>
                          <w:left w:val="nil"/>
                          <w:bottom w:val="nil"/>
                          <w:right w:val="nil"/>
                        </w:tcBorders>
                        <w:shd w:val="clear" w:color="auto" w:fill="FFFFFF"/>
                        <w:tcMar>
                          <w:bottom w:w="200" w:type="nil"/>
                        </w:tcMar>
                      </w:tcPr>
                      <w:p w14:paraId="07F806AB" w14:textId="77777777" w:rsidR="0005514F" w:rsidRPr="00ED414D" w:rsidRDefault="0005514F">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Analyze a major global challenge to specify qualitative and quantitative criteria and constraints for solutions that account for societal needs and wants.</w:t>
                        </w:r>
                      </w:p>
                    </w:tc>
                  </w:tr>
                  <w:tr w:rsidR="0005514F" w:rsidRPr="00ED414D" w14:paraId="1285BDD3" w14:textId="77777777">
                    <w:tblPrEx>
                      <w:tblBorders>
                        <w:top w:val="none" w:sz="0" w:space="0" w:color="auto"/>
                      </w:tblBorders>
                    </w:tblPrEx>
                    <w:tc>
                      <w:tcPr>
                        <w:tcW w:w="1500" w:type="dxa"/>
                        <w:tcBorders>
                          <w:top w:val="nil"/>
                          <w:left w:val="nil"/>
                          <w:bottom w:val="nil"/>
                          <w:right w:val="nil"/>
                        </w:tcBorders>
                        <w:tcMar>
                          <w:right w:w="300" w:type="nil"/>
                        </w:tcMar>
                      </w:tcPr>
                      <w:p w14:paraId="00AC3AD6" w14:textId="77777777" w:rsidR="0005514F" w:rsidRPr="00ED414D" w:rsidRDefault="0005514F">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HS-ETS1-2.</w:t>
                        </w:r>
                      </w:p>
                    </w:tc>
                    <w:tc>
                      <w:tcPr>
                        <w:tcW w:w="14760" w:type="dxa"/>
                        <w:tcBorders>
                          <w:top w:val="nil"/>
                          <w:left w:val="nil"/>
                          <w:bottom w:val="nil"/>
                          <w:right w:val="nil"/>
                        </w:tcBorders>
                        <w:shd w:val="clear" w:color="auto" w:fill="FFFFFF"/>
                        <w:tcMar>
                          <w:bottom w:w="200" w:type="nil"/>
                        </w:tcMar>
                      </w:tcPr>
                      <w:p w14:paraId="6A59CFCC" w14:textId="77777777" w:rsidR="0005514F" w:rsidRPr="00ED414D" w:rsidRDefault="0005514F">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Design a solution to a complex real-world problem by breaking it down into smaller, more manageable problems that can be solved through engineering.</w:t>
                        </w:r>
                      </w:p>
                    </w:tc>
                  </w:tr>
                  <w:tr w:rsidR="0005514F" w:rsidRPr="00ED414D" w14:paraId="34268B29" w14:textId="77777777">
                    <w:tblPrEx>
                      <w:tblBorders>
                        <w:top w:val="none" w:sz="0" w:space="0" w:color="auto"/>
                      </w:tblBorders>
                    </w:tblPrEx>
                    <w:tc>
                      <w:tcPr>
                        <w:tcW w:w="1500" w:type="dxa"/>
                        <w:tcBorders>
                          <w:top w:val="nil"/>
                          <w:left w:val="nil"/>
                          <w:bottom w:val="nil"/>
                          <w:right w:val="nil"/>
                        </w:tcBorders>
                        <w:tcMar>
                          <w:right w:w="300" w:type="nil"/>
                        </w:tcMar>
                      </w:tcPr>
                      <w:p w14:paraId="2FCFF822" w14:textId="77777777" w:rsidR="0005514F" w:rsidRPr="00ED414D" w:rsidRDefault="0005514F">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HS-ETS1-3.</w:t>
                        </w:r>
                      </w:p>
                    </w:tc>
                    <w:tc>
                      <w:tcPr>
                        <w:tcW w:w="14760" w:type="dxa"/>
                        <w:tcBorders>
                          <w:top w:val="nil"/>
                          <w:left w:val="nil"/>
                          <w:bottom w:val="nil"/>
                          <w:right w:val="nil"/>
                        </w:tcBorders>
                        <w:shd w:val="clear" w:color="auto" w:fill="FFFFFF"/>
                        <w:tcMar>
                          <w:bottom w:w="200" w:type="nil"/>
                        </w:tcMar>
                      </w:tcPr>
                      <w:p w14:paraId="586EF7D5" w14:textId="77777777" w:rsidR="0005514F" w:rsidRPr="00ED414D" w:rsidRDefault="0005514F">
                        <w:pPr>
                          <w:widowControl w:val="0"/>
                          <w:autoSpaceDE w:val="0"/>
                          <w:autoSpaceDN w:val="0"/>
                          <w:adjustRightInd w:val="0"/>
                          <w:rPr>
                            <w:rFonts w:asciiTheme="minorHAnsi" w:hAnsiTheme="minorHAnsi" w:cs="Arial"/>
                            <w:bCs/>
                            <w:color w:val="auto"/>
                            <w:sz w:val="22"/>
                            <w:szCs w:val="22"/>
                          </w:rPr>
                        </w:pPr>
                        <w:r w:rsidRPr="00ED414D">
                          <w:rPr>
                            <w:rFonts w:asciiTheme="minorHAnsi" w:hAnsiTheme="minorHAnsi" w:cs="Arial"/>
                            <w:bCs/>
                            <w:color w:val="343434"/>
                            <w:sz w:val="22"/>
                            <w:szCs w:val="22"/>
                          </w:rPr>
                          <w:t xml:space="preserve">Evaluate a solution to a complex real-world problem based on prioritized criteria and trade-offs that account for a range of constraints, including cost, safety, </w:t>
                        </w:r>
                        <w:proofErr w:type="gramStart"/>
                        <w:r w:rsidRPr="00ED414D">
                          <w:rPr>
                            <w:rFonts w:asciiTheme="minorHAnsi" w:hAnsiTheme="minorHAnsi" w:cs="Arial"/>
                            <w:bCs/>
                            <w:color w:val="343434"/>
                            <w:sz w:val="22"/>
                            <w:szCs w:val="22"/>
                          </w:rPr>
                          <w:t>reliability</w:t>
                        </w:r>
                        <w:proofErr w:type="gramEnd"/>
                        <w:r w:rsidRPr="00ED414D">
                          <w:rPr>
                            <w:rFonts w:asciiTheme="minorHAnsi" w:hAnsiTheme="minorHAnsi" w:cs="Arial"/>
                            <w:bCs/>
                            <w:color w:val="343434"/>
                            <w:sz w:val="22"/>
                            <w:szCs w:val="22"/>
                          </w:rPr>
                          <w:t>, and aesthetics as well as possible social, cultural, and environmental impacts.</w:t>
                        </w:r>
                      </w:p>
                    </w:tc>
                  </w:tr>
                  <w:tr w:rsidR="0005514F" w:rsidRPr="00ED414D" w14:paraId="1EC73A4D" w14:textId="77777777">
                    <w:tc>
                      <w:tcPr>
                        <w:tcW w:w="1500" w:type="dxa"/>
                        <w:tcBorders>
                          <w:top w:val="nil"/>
                          <w:left w:val="nil"/>
                          <w:bottom w:val="nil"/>
                          <w:right w:val="nil"/>
                        </w:tcBorders>
                        <w:tcMar>
                          <w:right w:w="300" w:type="nil"/>
                        </w:tcMar>
                      </w:tcPr>
                      <w:p w14:paraId="45B56322" w14:textId="77777777" w:rsidR="0005514F" w:rsidRPr="00ED414D" w:rsidRDefault="0005514F">
                        <w:pPr>
                          <w:widowControl w:val="0"/>
                          <w:autoSpaceDE w:val="0"/>
                          <w:autoSpaceDN w:val="0"/>
                          <w:adjustRightInd w:val="0"/>
                          <w:rPr>
                            <w:rFonts w:asciiTheme="minorHAnsi" w:hAnsiTheme="minorHAnsi" w:cs="Arial"/>
                            <w:b/>
                            <w:bCs/>
                            <w:color w:val="auto"/>
                            <w:sz w:val="22"/>
                            <w:szCs w:val="22"/>
                          </w:rPr>
                        </w:pPr>
                        <w:r w:rsidRPr="00ED414D">
                          <w:rPr>
                            <w:rFonts w:asciiTheme="minorHAnsi" w:hAnsiTheme="minorHAnsi" w:cs="Arial"/>
                            <w:b/>
                            <w:bCs/>
                            <w:color w:val="343434"/>
                            <w:sz w:val="22"/>
                            <w:szCs w:val="22"/>
                          </w:rPr>
                          <w:t>HS-ETS1-4.</w:t>
                        </w:r>
                      </w:p>
                    </w:tc>
                    <w:tc>
                      <w:tcPr>
                        <w:tcW w:w="14760" w:type="dxa"/>
                        <w:tcBorders>
                          <w:top w:val="nil"/>
                          <w:left w:val="nil"/>
                          <w:bottom w:val="nil"/>
                          <w:right w:val="nil"/>
                        </w:tcBorders>
                        <w:shd w:val="clear" w:color="auto" w:fill="FFFFFF"/>
                        <w:tcMar>
                          <w:bottom w:w="200" w:type="nil"/>
                        </w:tcMar>
                      </w:tcPr>
                      <w:p w14:paraId="5AA8F4E1" w14:textId="77777777" w:rsidR="0005514F" w:rsidRPr="00ED414D" w:rsidRDefault="0005514F">
                        <w:pPr>
                          <w:widowControl w:val="0"/>
                          <w:autoSpaceDE w:val="0"/>
                          <w:autoSpaceDN w:val="0"/>
                          <w:adjustRightInd w:val="0"/>
                          <w:rPr>
                            <w:rFonts w:asciiTheme="minorHAnsi" w:hAnsiTheme="minorHAnsi" w:cs="Arial"/>
                            <w:bCs/>
                            <w:color w:val="343434"/>
                            <w:sz w:val="22"/>
                            <w:szCs w:val="22"/>
                          </w:rPr>
                        </w:pPr>
                        <w:r w:rsidRPr="00ED414D">
                          <w:rPr>
                            <w:rFonts w:asciiTheme="minorHAnsi" w:hAnsiTheme="minorHAnsi" w:cs="Arial"/>
                            <w:bCs/>
                            <w:color w:val="343434"/>
                            <w:sz w:val="22"/>
                            <w:szCs w:val="22"/>
                          </w:rPr>
                          <w:t>Use a computer simulation to model the impact of proposed solutions to a complex real-world problem with numerous criteria and constraints on interactions within and between systems relevant to the problem.</w:t>
                        </w:r>
                      </w:p>
                    </w:tc>
                  </w:tr>
                </w:tbl>
                <w:p w14:paraId="5C14584A" w14:textId="77777777" w:rsidR="0005514F" w:rsidRPr="00ED414D" w:rsidRDefault="0005514F">
                  <w:pPr>
                    <w:widowControl w:val="0"/>
                    <w:autoSpaceDE w:val="0"/>
                    <w:autoSpaceDN w:val="0"/>
                    <w:adjustRightInd w:val="0"/>
                    <w:rPr>
                      <w:rFonts w:asciiTheme="minorHAnsi" w:hAnsiTheme="minorHAnsi" w:cs="Arial"/>
                      <w:b/>
                      <w:bCs/>
                      <w:color w:val="343434"/>
                      <w:sz w:val="22"/>
                      <w:szCs w:val="22"/>
                    </w:rPr>
                  </w:pPr>
                </w:p>
              </w:tc>
            </w:tr>
          </w:tbl>
          <w:p w14:paraId="7AB0A443" w14:textId="77777777" w:rsidR="002D3825" w:rsidRPr="00ED414D" w:rsidRDefault="002D3825" w:rsidP="00EC1CFB">
            <w:pPr>
              <w:pStyle w:val="NoSpacing"/>
              <w:rPr>
                <w:rFonts w:asciiTheme="minorHAnsi" w:hAnsiTheme="minorHAnsi"/>
              </w:rPr>
            </w:pPr>
          </w:p>
        </w:tc>
      </w:tr>
    </w:tbl>
    <w:p w14:paraId="76E3B646" w14:textId="77777777" w:rsidR="00FD6325" w:rsidRPr="00DA4170" w:rsidRDefault="00FD6325" w:rsidP="00DA4170">
      <w:pPr>
        <w:pStyle w:val="Heading1"/>
        <w:contextualSpacing w:val="0"/>
        <w:rPr>
          <w:sz w:val="24"/>
        </w:rPr>
      </w:pPr>
      <w:r w:rsidRPr="00DA4170">
        <w:rPr>
          <w:sz w:val="24"/>
        </w:rPr>
        <w:t>Related CCSSM</w:t>
      </w:r>
    </w:p>
    <w:tbl>
      <w:tblPr>
        <w:tblStyle w:val="TableGrid"/>
        <w:tblW w:w="0" w:type="auto"/>
        <w:tblLook w:val="04A0" w:firstRow="1" w:lastRow="0" w:firstColumn="1" w:lastColumn="0" w:noHBand="0" w:noVBand="1"/>
      </w:tblPr>
      <w:tblGrid>
        <w:gridCol w:w="1458"/>
        <w:gridCol w:w="7398"/>
      </w:tblGrid>
      <w:tr w:rsidR="00FD6325" w14:paraId="707743E9" w14:textId="77777777" w:rsidTr="00031D88">
        <w:tc>
          <w:tcPr>
            <w:tcW w:w="1458" w:type="dxa"/>
          </w:tcPr>
          <w:p w14:paraId="18D48D2C" w14:textId="77777777" w:rsidR="00FD6325" w:rsidRDefault="00FD6325" w:rsidP="00031D88">
            <w:pPr>
              <w:pStyle w:val="NoSpacing"/>
            </w:pPr>
            <w:r>
              <w:t>Grade Level</w:t>
            </w:r>
          </w:p>
        </w:tc>
        <w:tc>
          <w:tcPr>
            <w:tcW w:w="7398" w:type="dxa"/>
          </w:tcPr>
          <w:p w14:paraId="2D38A0A2" w14:textId="77777777" w:rsidR="00FD6325" w:rsidRDefault="00FD6325" w:rsidP="00031D88">
            <w:pPr>
              <w:pStyle w:val="NoSpacing"/>
            </w:pPr>
            <w:r>
              <w:t>Student Performance Expectations</w:t>
            </w:r>
          </w:p>
        </w:tc>
      </w:tr>
      <w:tr w:rsidR="00FD6325" w14:paraId="73B0A8F2" w14:textId="77777777" w:rsidTr="00031D88">
        <w:tc>
          <w:tcPr>
            <w:tcW w:w="1458" w:type="dxa"/>
          </w:tcPr>
          <w:p w14:paraId="2A75326A" w14:textId="77777777" w:rsidR="00FD6325" w:rsidRDefault="00FD6325" w:rsidP="00031D88">
            <w:pPr>
              <w:pStyle w:val="NoSpacing"/>
            </w:pPr>
            <w:r>
              <w:t>3-5</w:t>
            </w:r>
          </w:p>
        </w:tc>
        <w:tc>
          <w:tcPr>
            <w:tcW w:w="7398" w:type="dxa"/>
          </w:tcPr>
          <w:p w14:paraId="6D1BCE38" w14:textId="77777777" w:rsidR="00FD6325" w:rsidRPr="00FC3F99" w:rsidRDefault="00FD6325" w:rsidP="00031D88">
            <w:pPr>
              <w:pStyle w:val="NoSpacing"/>
              <w:rPr>
                <w:b/>
              </w:rPr>
            </w:pPr>
            <w:r w:rsidRPr="00FC3F99">
              <w:rPr>
                <w:b/>
              </w:rPr>
              <w:t>CCSS.MATH.PRACTICE.MP2 Reason abstractly and quantitatively.</w:t>
            </w:r>
          </w:p>
          <w:p w14:paraId="5EC31FA5" w14:textId="77777777" w:rsidR="00FD6325" w:rsidRDefault="00FD6325" w:rsidP="00031D88">
            <w:pPr>
              <w:pStyle w:val="NoSpacing"/>
              <w:rPr>
                <w:rFonts w:ascii="Lato Light" w:hAnsi="Lato Light"/>
                <w:b/>
                <w:color w:val="202020"/>
                <w:sz w:val="25"/>
                <w:szCs w:val="25"/>
              </w:rPr>
            </w:pPr>
            <w:r>
              <w:rPr>
                <w:rFonts w:ascii="Lato Light" w:hAnsi="Lato Light"/>
                <w:color w:val="202020"/>
                <w:sz w:val="25"/>
                <w:szCs w:val="25"/>
              </w:rPr>
              <w:t>Mathematically proficient students make sense of quantities and their relationships in problem situations. They bring two complementary abilities to bear on problems involving quantitative relationships: the ability to</w:t>
            </w:r>
            <w:r>
              <w:rPr>
                <w:rStyle w:val="apple-converted-space"/>
                <w:rFonts w:ascii="Lato Light" w:hAnsi="Lato Light"/>
                <w:color w:val="202020"/>
                <w:sz w:val="25"/>
                <w:szCs w:val="25"/>
              </w:rPr>
              <w:t> </w:t>
            </w:r>
            <w:r>
              <w:rPr>
                <w:rFonts w:ascii="Lato Light" w:hAnsi="Lato Light"/>
                <w:i/>
                <w:iCs/>
                <w:color w:val="202020"/>
                <w:sz w:val="25"/>
                <w:szCs w:val="25"/>
              </w:rPr>
              <w:t>decontextualize</w:t>
            </w:r>
            <w:r>
              <w:rPr>
                <w:rFonts w:ascii="Lato Light" w:hAnsi="Lato Light"/>
                <w:color w:val="202020"/>
                <w:sz w:val="25"/>
                <w:szCs w:val="25"/>
              </w:rPr>
              <w:t>—to abstract a given situation and represent it symbolically and manipulate the representing symbols as if they have a life of their own, without necessarily attending to their referents—and the ability to</w:t>
            </w:r>
            <w:r>
              <w:rPr>
                <w:rStyle w:val="apple-converted-space"/>
                <w:rFonts w:ascii="Lato Light" w:hAnsi="Lato Light"/>
                <w:color w:val="202020"/>
                <w:sz w:val="25"/>
                <w:szCs w:val="25"/>
              </w:rPr>
              <w:t> </w:t>
            </w:r>
            <w:r>
              <w:rPr>
                <w:rFonts w:ascii="Lato Light" w:hAnsi="Lato Light"/>
                <w:i/>
                <w:iCs/>
                <w:color w:val="202020"/>
                <w:sz w:val="25"/>
                <w:szCs w:val="25"/>
              </w:rPr>
              <w:t>contextualize</w:t>
            </w:r>
            <w:r>
              <w:rPr>
                <w:rFonts w:ascii="Lato Light" w:hAnsi="Lato Light"/>
                <w:color w:val="202020"/>
                <w:sz w:val="25"/>
                <w:szCs w:val="25"/>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7EA1ECF5" w14:textId="77777777" w:rsidR="00FD6325" w:rsidRPr="00FC3F99" w:rsidRDefault="00FD6325" w:rsidP="00031D88">
            <w:pPr>
              <w:pStyle w:val="NoSpacing"/>
              <w:rPr>
                <w:rFonts w:ascii="Lato Light" w:hAnsi="Lato Light"/>
                <w:b/>
                <w:color w:val="202020"/>
                <w:sz w:val="25"/>
                <w:szCs w:val="25"/>
              </w:rPr>
            </w:pPr>
            <w:r w:rsidRPr="00FC3F99">
              <w:rPr>
                <w:rFonts w:ascii="Lato Light" w:hAnsi="Lato Light"/>
                <w:b/>
                <w:color w:val="202020"/>
                <w:sz w:val="25"/>
                <w:szCs w:val="25"/>
              </w:rPr>
              <w:t>CCSS.MATH.PRACTICE.MP4 Model with mathematics.</w:t>
            </w:r>
          </w:p>
          <w:p w14:paraId="250C620D" w14:textId="77777777" w:rsidR="00FD6325" w:rsidRDefault="00FD6325" w:rsidP="00031D88">
            <w:pPr>
              <w:pStyle w:val="NoSpacing"/>
              <w:rPr>
                <w:rFonts w:ascii="Lato Light" w:hAnsi="Lato Light"/>
                <w:color w:val="202020"/>
                <w:sz w:val="25"/>
                <w:szCs w:val="25"/>
              </w:rPr>
            </w:pPr>
            <w:r>
              <w:rPr>
                <w:rFonts w:ascii="Lato Light" w:hAnsi="Lato Light"/>
                <w:color w:val="202020"/>
                <w:sz w:val="25"/>
                <w:szCs w:val="25"/>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w:t>
            </w:r>
            <w:r>
              <w:rPr>
                <w:rFonts w:ascii="Lato Light" w:hAnsi="Lato Light"/>
                <w:color w:val="202020"/>
                <w:sz w:val="25"/>
                <w:szCs w:val="25"/>
              </w:rPr>
              <w:lastRenderedPageBreak/>
              <w:t>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671A47B0" w14:textId="77777777" w:rsidR="00FD6325" w:rsidRDefault="00FD6325" w:rsidP="00031D88">
            <w:pPr>
              <w:pStyle w:val="NoSpacing"/>
              <w:rPr>
                <w:rFonts w:ascii="Lato Light" w:hAnsi="Lato Light"/>
                <w:b/>
                <w:color w:val="202020"/>
                <w:sz w:val="25"/>
                <w:szCs w:val="25"/>
              </w:rPr>
            </w:pPr>
            <w:r>
              <w:rPr>
                <w:rFonts w:ascii="Lato Light" w:hAnsi="Lato Light"/>
                <w:b/>
                <w:color w:val="202020"/>
                <w:sz w:val="25"/>
                <w:szCs w:val="25"/>
              </w:rPr>
              <w:t xml:space="preserve">CCSS.MATH.PRACTICE.MP5 </w:t>
            </w:r>
          </w:p>
          <w:p w14:paraId="763D2943" w14:textId="77777777" w:rsidR="00FD6325" w:rsidRDefault="00FD6325" w:rsidP="00031D88">
            <w:pPr>
              <w:pStyle w:val="NoSpacing"/>
              <w:rPr>
                <w:rFonts w:ascii="Lato Light" w:hAnsi="Lato Light"/>
                <w:color w:val="202020"/>
                <w:sz w:val="25"/>
                <w:szCs w:val="25"/>
              </w:rPr>
            </w:pPr>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2364F8FC" w14:textId="77777777" w:rsidR="00FD6325" w:rsidRPr="00A25F9A" w:rsidRDefault="00FD6325" w:rsidP="00031D88">
            <w:pPr>
              <w:pStyle w:val="NoSpacing"/>
              <w:rPr>
                <w:rFonts w:ascii="Lato Light" w:hAnsi="Lato Light"/>
                <w:color w:val="202020"/>
                <w:sz w:val="25"/>
                <w:szCs w:val="25"/>
              </w:rPr>
            </w:pPr>
            <w:r w:rsidRPr="00FC3F99">
              <w:rPr>
                <w:b/>
              </w:rPr>
              <w:t>CCSS.MATH.</w:t>
            </w:r>
            <w:r>
              <w:rPr>
                <w:b/>
              </w:rPr>
              <w:t>CONTENT.3.OA.A.1 – CCSS.MATH.CONTENT.5.OA.B.3 Operations and Algebraic Thinking</w:t>
            </w:r>
          </w:p>
        </w:tc>
      </w:tr>
      <w:tr w:rsidR="00FD6325" w14:paraId="09665D40" w14:textId="77777777" w:rsidTr="00031D88">
        <w:tc>
          <w:tcPr>
            <w:tcW w:w="1458" w:type="dxa"/>
          </w:tcPr>
          <w:p w14:paraId="5B4E3E1A" w14:textId="77777777" w:rsidR="00FD6325" w:rsidRDefault="00FD6325" w:rsidP="00031D88">
            <w:pPr>
              <w:pStyle w:val="NoSpacing"/>
            </w:pPr>
            <w:r>
              <w:lastRenderedPageBreak/>
              <w:t>MS</w:t>
            </w:r>
          </w:p>
        </w:tc>
        <w:tc>
          <w:tcPr>
            <w:tcW w:w="7398" w:type="dxa"/>
          </w:tcPr>
          <w:p w14:paraId="63B164C1" w14:textId="77777777" w:rsidR="00FD6325" w:rsidRPr="00FC3F99" w:rsidRDefault="00FD6325" w:rsidP="00031D88">
            <w:pPr>
              <w:pStyle w:val="NoSpacing"/>
              <w:rPr>
                <w:b/>
              </w:rPr>
            </w:pPr>
            <w:r w:rsidRPr="00FC3F99">
              <w:rPr>
                <w:b/>
              </w:rPr>
              <w:t>CCSS.MATH.PRACTICE.MP2 Reason abstractly and quantitatively.</w:t>
            </w:r>
          </w:p>
          <w:p w14:paraId="27731CE0" w14:textId="77777777" w:rsidR="00FD6325" w:rsidRDefault="00FD6325" w:rsidP="00031D88">
            <w:pPr>
              <w:pStyle w:val="NoSpacing"/>
              <w:rPr>
                <w:rFonts w:ascii="Lato Light" w:hAnsi="Lato Light"/>
                <w:b/>
                <w:color w:val="202020"/>
                <w:sz w:val="25"/>
                <w:szCs w:val="25"/>
              </w:rPr>
            </w:pPr>
            <w:r>
              <w:rPr>
                <w:rFonts w:ascii="Lato Light" w:hAnsi="Lato Light"/>
                <w:color w:val="202020"/>
                <w:sz w:val="25"/>
                <w:szCs w:val="25"/>
              </w:rPr>
              <w:t>Mathematically proficient students make sense of quantities and their relationships in problem situations. They bring two complementary abilities to bear on problems involving quantitative relationships: the ability to</w:t>
            </w:r>
            <w:r>
              <w:rPr>
                <w:rStyle w:val="apple-converted-space"/>
                <w:rFonts w:ascii="Lato Light" w:hAnsi="Lato Light"/>
                <w:color w:val="202020"/>
                <w:sz w:val="25"/>
                <w:szCs w:val="25"/>
              </w:rPr>
              <w:t> </w:t>
            </w:r>
            <w:r>
              <w:rPr>
                <w:rFonts w:ascii="Lato Light" w:hAnsi="Lato Light"/>
                <w:i/>
                <w:iCs/>
                <w:color w:val="202020"/>
                <w:sz w:val="25"/>
                <w:szCs w:val="25"/>
              </w:rPr>
              <w:t>decontextualize</w:t>
            </w:r>
            <w:r>
              <w:rPr>
                <w:rFonts w:ascii="Lato Light" w:hAnsi="Lato Light"/>
                <w:color w:val="202020"/>
                <w:sz w:val="25"/>
                <w:szCs w:val="25"/>
              </w:rPr>
              <w:t>—to abstract a given situation and represent it symbolically and manipulate the representing symbols as if they have a life of their own, without necessarily attending to their referents—and the ability to</w:t>
            </w:r>
            <w:r>
              <w:rPr>
                <w:rStyle w:val="apple-converted-space"/>
                <w:rFonts w:ascii="Lato Light" w:hAnsi="Lato Light"/>
                <w:color w:val="202020"/>
                <w:sz w:val="25"/>
                <w:szCs w:val="25"/>
              </w:rPr>
              <w:t> </w:t>
            </w:r>
            <w:r>
              <w:rPr>
                <w:rFonts w:ascii="Lato Light" w:hAnsi="Lato Light"/>
                <w:i/>
                <w:iCs/>
                <w:color w:val="202020"/>
                <w:sz w:val="25"/>
                <w:szCs w:val="25"/>
              </w:rPr>
              <w:t>contextualize</w:t>
            </w:r>
            <w:r>
              <w:rPr>
                <w:rFonts w:ascii="Lato Light" w:hAnsi="Lato Light"/>
                <w:color w:val="202020"/>
                <w:sz w:val="25"/>
                <w:szCs w:val="25"/>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06279246" w14:textId="77777777" w:rsidR="00FD6325" w:rsidRDefault="00FD6325" w:rsidP="00031D88">
            <w:pPr>
              <w:pStyle w:val="NoSpacing"/>
              <w:rPr>
                <w:b/>
              </w:rPr>
            </w:pPr>
            <w:r w:rsidRPr="00FC3F99">
              <w:rPr>
                <w:b/>
              </w:rPr>
              <w:t>CCSS.MATH.</w:t>
            </w:r>
            <w:r>
              <w:rPr>
                <w:b/>
              </w:rPr>
              <w:t>CONTENT.7.EE.B.3</w:t>
            </w:r>
          </w:p>
          <w:p w14:paraId="37233330" w14:textId="77777777" w:rsidR="00FD6325" w:rsidRDefault="00FD6325" w:rsidP="00031D88">
            <w:pPr>
              <w:pStyle w:val="NoSpacing"/>
              <w:rPr>
                <w:rFonts w:ascii="Lato Light" w:hAnsi="Lato Light"/>
                <w:color w:val="202020"/>
                <w:sz w:val="25"/>
                <w:szCs w:val="25"/>
              </w:rPr>
            </w:pPr>
            <w:r>
              <w:lastRenderedPageBreak/>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p w14:paraId="5C6F9546" w14:textId="77777777" w:rsidR="00FD6325" w:rsidRDefault="00FD6325" w:rsidP="00031D88">
            <w:pPr>
              <w:pStyle w:val="NoSpacing"/>
              <w:rPr>
                <w:b/>
              </w:rPr>
            </w:pPr>
            <w:r w:rsidRPr="00FC3F99">
              <w:rPr>
                <w:b/>
              </w:rPr>
              <w:t>CCSS.MATH.</w:t>
            </w:r>
            <w:r>
              <w:rPr>
                <w:b/>
              </w:rPr>
              <w:t>CONTENT.7.SP.C.7</w:t>
            </w:r>
          </w:p>
          <w:p w14:paraId="3FBE7A4B" w14:textId="77777777" w:rsidR="00FD6325" w:rsidRPr="00925262" w:rsidRDefault="00FD6325" w:rsidP="00031D88">
            <w:pPr>
              <w:pStyle w:val="NoSpacing"/>
              <w:rPr>
                <w:b/>
              </w:rPr>
            </w:pPr>
            <w:r>
              <w:t>Develop a probability model and use it to find probabilities of events. Compare probabilities from a model to observed frequencies; if the agreement is not good, explain possible sources of the discrepancy.</w:t>
            </w:r>
          </w:p>
        </w:tc>
      </w:tr>
      <w:tr w:rsidR="00FD6325" w14:paraId="2C54411F" w14:textId="77777777" w:rsidTr="00031D88">
        <w:tc>
          <w:tcPr>
            <w:tcW w:w="1458" w:type="dxa"/>
          </w:tcPr>
          <w:p w14:paraId="37141719" w14:textId="77777777" w:rsidR="00FD6325" w:rsidRDefault="00FD6325" w:rsidP="00031D88">
            <w:pPr>
              <w:pStyle w:val="NoSpacing"/>
            </w:pPr>
            <w:r>
              <w:lastRenderedPageBreak/>
              <w:t>HS</w:t>
            </w:r>
          </w:p>
        </w:tc>
        <w:tc>
          <w:tcPr>
            <w:tcW w:w="7398" w:type="dxa"/>
          </w:tcPr>
          <w:p w14:paraId="18C6F26D" w14:textId="77777777" w:rsidR="00FD6325" w:rsidRPr="00FC3F99" w:rsidRDefault="00FD6325" w:rsidP="00031D88">
            <w:pPr>
              <w:pStyle w:val="NoSpacing"/>
              <w:rPr>
                <w:b/>
              </w:rPr>
            </w:pPr>
            <w:r w:rsidRPr="00FC3F99">
              <w:rPr>
                <w:b/>
              </w:rPr>
              <w:t>CCSS.MATH.PRACTICE.MP2 Reason abstractly and quantitatively.</w:t>
            </w:r>
          </w:p>
          <w:p w14:paraId="234EF8FF" w14:textId="77777777" w:rsidR="00FD6325" w:rsidRDefault="00FD6325" w:rsidP="00031D88">
            <w:pPr>
              <w:pStyle w:val="NoSpacing"/>
              <w:rPr>
                <w:rFonts w:ascii="Lato Light" w:hAnsi="Lato Light"/>
                <w:b/>
                <w:color w:val="202020"/>
                <w:sz w:val="25"/>
                <w:szCs w:val="25"/>
              </w:rPr>
            </w:pPr>
            <w:r>
              <w:rPr>
                <w:rFonts w:ascii="Lato Light" w:hAnsi="Lato Light"/>
                <w:color w:val="202020"/>
                <w:sz w:val="25"/>
                <w:szCs w:val="25"/>
              </w:rPr>
              <w:t>Mathematically proficient students make sense of quantities and their relationships in problem situations. They bring two complementary abilities to bear on problems involving quantitative relationships: the ability to</w:t>
            </w:r>
            <w:r>
              <w:rPr>
                <w:rStyle w:val="apple-converted-space"/>
                <w:rFonts w:ascii="Lato Light" w:hAnsi="Lato Light"/>
                <w:color w:val="202020"/>
                <w:sz w:val="25"/>
                <w:szCs w:val="25"/>
              </w:rPr>
              <w:t> </w:t>
            </w:r>
            <w:r>
              <w:rPr>
                <w:rFonts w:ascii="Lato Light" w:hAnsi="Lato Light"/>
                <w:i/>
                <w:iCs/>
                <w:color w:val="202020"/>
                <w:sz w:val="25"/>
                <w:szCs w:val="25"/>
              </w:rPr>
              <w:t>decontextualize</w:t>
            </w:r>
            <w:r>
              <w:rPr>
                <w:rFonts w:ascii="Lato Light" w:hAnsi="Lato Light"/>
                <w:color w:val="202020"/>
                <w:sz w:val="25"/>
                <w:szCs w:val="25"/>
              </w:rPr>
              <w:t>—to abstract a given situation and represent it symbolically and manipulate the representing symbols as if they have a life of their own, without necessarily attending to their referents—and the ability to</w:t>
            </w:r>
            <w:r>
              <w:rPr>
                <w:rStyle w:val="apple-converted-space"/>
                <w:rFonts w:ascii="Lato Light" w:hAnsi="Lato Light"/>
                <w:color w:val="202020"/>
                <w:sz w:val="25"/>
                <w:szCs w:val="25"/>
              </w:rPr>
              <w:t> </w:t>
            </w:r>
            <w:r>
              <w:rPr>
                <w:rFonts w:ascii="Lato Light" w:hAnsi="Lato Light"/>
                <w:i/>
                <w:iCs/>
                <w:color w:val="202020"/>
                <w:sz w:val="25"/>
                <w:szCs w:val="25"/>
              </w:rPr>
              <w:t>contextualize</w:t>
            </w:r>
            <w:r>
              <w:rPr>
                <w:rFonts w:ascii="Lato Light" w:hAnsi="Lato Light"/>
                <w:color w:val="202020"/>
                <w:sz w:val="25"/>
                <w:szCs w:val="25"/>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27B3075C" w14:textId="77777777" w:rsidR="00FD6325" w:rsidRPr="00FC3F99" w:rsidRDefault="00FD6325" w:rsidP="00031D88">
            <w:pPr>
              <w:pStyle w:val="NoSpacing"/>
              <w:rPr>
                <w:rFonts w:ascii="Lato Light" w:hAnsi="Lato Light"/>
                <w:b/>
                <w:color w:val="202020"/>
                <w:sz w:val="25"/>
                <w:szCs w:val="25"/>
              </w:rPr>
            </w:pPr>
            <w:r w:rsidRPr="00FC3F99">
              <w:rPr>
                <w:rFonts w:ascii="Lato Light" w:hAnsi="Lato Light"/>
                <w:b/>
                <w:color w:val="202020"/>
                <w:sz w:val="25"/>
                <w:szCs w:val="25"/>
              </w:rPr>
              <w:t>CCSS.MATH.PRACTICE.MP4 Model with mathematics.</w:t>
            </w:r>
          </w:p>
          <w:p w14:paraId="1A2E1B28" w14:textId="77777777" w:rsidR="00FD6325" w:rsidRDefault="00FD6325" w:rsidP="00031D88">
            <w:pPr>
              <w:pStyle w:val="NoSpacing"/>
              <w:rPr>
                <w:rFonts w:ascii="Lato Light" w:hAnsi="Lato Light"/>
                <w:color w:val="202020"/>
                <w:sz w:val="25"/>
                <w:szCs w:val="25"/>
              </w:rPr>
            </w:pPr>
            <w:r>
              <w:rPr>
                <w:rFonts w:ascii="Lato Light" w:hAnsi="Lato Light"/>
                <w:color w:val="202020"/>
                <w:sz w:val="25"/>
                <w:szCs w:val="25"/>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75D492FD" w14:textId="77777777" w:rsidR="00FD6325" w:rsidRDefault="00FD6325" w:rsidP="00031D88">
            <w:pPr>
              <w:pStyle w:val="NoSpacing"/>
              <w:rPr>
                <w:b/>
              </w:rPr>
            </w:pPr>
            <w:r>
              <w:t>Relate the domain of a function to its graph and, where applicable, to the quantitative relationship it describes.</w:t>
            </w:r>
          </w:p>
          <w:p w14:paraId="7717DC5B" w14:textId="77777777" w:rsidR="00FD6325" w:rsidRDefault="00FD6325" w:rsidP="00031D88">
            <w:pPr>
              <w:pStyle w:val="NoSpacing"/>
              <w:rPr>
                <w:b/>
              </w:rPr>
            </w:pPr>
            <w:r w:rsidRPr="00FC3F99">
              <w:rPr>
                <w:b/>
              </w:rPr>
              <w:t>CCSS.MATH.</w:t>
            </w:r>
            <w:r>
              <w:rPr>
                <w:b/>
              </w:rPr>
              <w:t>CONTENT.HSS.ID.B.6</w:t>
            </w:r>
          </w:p>
          <w:p w14:paraId="696D975A" w14:textId="77777777" w:rsidR="00FD6325" w:rsidRDefault="00FD6325" w:rsidP="00031D88">
            <w:pPr>
              <w:pStyle w:val="NoSpacing"/>
            </w:pPr>
            <w:r>
              <w:lastRenderedPageBreak/>
              <w:t>Represent data on two quantitative variables on a scatter plot, and describe how the variables are related.</w:t>
            </w:r>
          </w:p>
        </w:tc>
      </w:tr>
    </w:tbl>
    <w:p w14:paraId="78552F84" w14:textId="77777777" w:rsidR="00E255BD" w:rsidRDefault="00E255BD" w:rsidP="00CD46E4">
      <w:pPr>
        <w:pStyle w:val="Normal1"/>
      </w:pPr>
      <w:bookmarkStart w:id="2" w:name="_GoBack"/>
      <w:bookmarkEnd w:id="2"/>
    </w:p>
    <w:sectPr w:rsidR="00E255B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ato Ligh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87289D"/>
    <w:multiLevelType w:val="multilevel"/>
    <w:tmpl w:val="9DB4AE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562086A"/>
    <w:multiLevelType w:val="multilevel"/>
    <w:tmpl w:val="04D6D3B0"/>
    <w:lvl w:ilvl="0">
      <w:start w:val="1"/>
      <w:numFmt w:val="bullet"/>
      <w:lvlText w:val="●"/>
      <w:lvlJc w:val="left"/>
      <w:pPr>
        <w:ind w:left="720" w:firstLine="360"/>
      </w:pPr>
      <w:rPr>
        <w:rFonts w:ascii="Arial" w:eastAsia="Arial" w:hAnsi="Arial" w:cs="Arial"/>
        <w:sz w:val="14"/>
        <w:u w:val="none"/>
        <w:shd w:val="clear" w:color="auto" w:fill="FBD4B4"/>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7441AF"/>
    <w:multiLevelType w:val="multilevel"/>
    <w:tmpl w:val="4F68A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0CB34AB"/>
    <w:multiLevelType w:val="multilevel"/>
    <w:tmpl w:val="8CFACE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7BB783C"/>
    <w:multiLevelType w:val="multilevel"/>
    <w:tmpl w:val="CF4C2496"/>
    <w:lvl w:ilvl="0">
      <w:start w:val="1"/>
      <w:numFmt w:val="bullet"/>
      <w:lvlText w:val="●"/>
      <w:lvlJc w:val="left"/>
      <w:pPr>
        <w:ind w:left="720" w:firstLine="360"/>
      </w:pPr>
      <w:rPr>
        <w:rFonts w:ascii="Arial" w:eastAsia="Arial" w:hAnsi="Arial" w:cs="Arial"/>
        <w:sz w:val="14"/>
        <w:u w:val="none"/>
        <w:shd w:val="clear" w:color="auto" w:fill="FBD4B4"/>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86F52C2"/>
    <w:multiLevelType w:val="multilevel"/>
    <w:tmpl w:val="541ADB38"/>
    <w:lvl w:ilvl="0">
      <w:start w:val="1"/>
      <w:numFmt w:val="bullet"/>
      <w:lvlText w:val="●"/>
      <w:lvlJc w:val="left"/>
      <w:pPr>
        <w:ind w:left="720" w:firstLine="360"/>
      </w:pPr>
      <w:rPr>
        <w:rFonts w:ascii="Arial" w:eastAsia="Arial" w:hAnsi="Arial" w:cs="Arial"/>
        <w:sz w:val="14"/>
        <w:u w:val="none"/>
        <w:shd w:val="clear" w:color="auto" w:fill="D6E3BC"/>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9E57900"/>
    <w:multiLevelType w:val="multilevel"/>
    <w:tmpl w:val="B4F22D36"/>
    <w:lvl w:ilvl="0">
      <w:start w:val="1"/>
      <w:numFmt w:val="bullet"/>
      <w:lvlText w:val="●"/>
      <w:lvlJc w:val="left"/>
      <w:pPr>
        <w:ind w:left="720" w:firstLine="360"/>
      </w:pPr>
      <w:rPr>
        <w:rFonts w:ascii="Arial" w:eastAsia="Arial" w:hAnsi="Arial" w:cs="Arial"/>
        <w:sz w:val="14"/>
        <w:u w:val="none"/>
        <w:shd w:val="clear" w:color="auto" w:fill="D6E3BC"/>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6992E16"/>
    <w:multiLevelType w:val="multilevel"/>
    <w:tmpl w:val="8C1ED3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8"/>
  </w:num>
  <w:num w:numId="3">
    <w:abstractNumId w:val="9"/>
  </w:num>
  <w:num w:numId="4">
    <w:abstractNumId w:val="4"/>
  </w:num>
  <w:num w:numId="5">
    <w:abstractNumId w:val="7"/>
  </w:num>
  <w:num w:numId="6">
    <w:abstractNumId w:val="6"/>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BD"/>
    <w:rsid w:val="0005514F"/>
    <w:rsid w:val="000674B9"/>
    <w:rsid w:val="00080500"/>
    <w:rsid w:val="000A4C83"/>
    <w:rsid w:val="000B182F"/>
    <w:rsid w:val="000B19E3"/>
    <w:rsid w:val="000C649C"/>
    <w:rsid w:val="000D641C"/>
    <w:rsid w:val="00100365"/>
    <w:rsid w:val="00117316"/>
    <w:rsid w:val="0012507C"/>
    <w:rsid w:val="001543D9"/>
    <w:rsid w:val="00185048"/>
    <w:rsid w:val="001852BB"/>
    <w:rsid w:val="00193571"/>
    <w:rsid w:val="00194596"/>
    <w:rsid w:val="00223746"/>
    <w:rsid w:val="0025517D"/>
    <w:rsid w:val="002D3825"/>
    <w:rsid w:val="002E608C"/>
    <w:rsid w:val="002F5DD4"/>
    <w:rsid w:val="0032186B"/>
    <w:rsid w:val="00322522"/>
    <w:rsid w:val="00337CC7"/>
    <w:rsid w:val="00386229"/>
    <w:rsid w:val="00402194"/>
    <w:rsid w:val="00427865"/>
    <w:rsid w:val="00462185"/>
    <w:rsid w:val="004643C8"/>
    <w:rsid w:val="00483403"/>
    <w:rsid w:val="004F0951"/>
    <w:rsid w:val="00574827"/>
    <w:rsid w:val="00580AB7"/>
    <w:rsid w:val="005A0D2A"/>
    <w:rsid w:val="005D02A6"/>
    <w:rsid w:val="005D2214"/>
    <w:rsid w:val="00650CA9"/>
    <w:rsid w:val="006836A0"/>
    <w:rsid w:val="00685946"/>
    <w:rsid w:val="00686CE7"/>
    <w:rsid w:val="006A16EF"/>
    <w:rsid w:val="006D5035"/>
    <w:rsid w:val="006E215D"/>
    <w:rsid w:val="006F68D9"/>
    <w:rsid w:val="007119C3"/>
    <w:rsid w:val="00735A4F"/>
    <w:rsid w:val="00747AC2"/>
    <w:rsid w:val="00774659"/>
    <w:rsid w:val="007E4399"/>
    <w:rsid w:val="007F07D0"/>
    <w:rsid w:val="0082309A"/>
    <w:rsid w:val="00825ED8"/>
    <w:rsid w:val="0084134C"/>
    <w:rsid w:val="00874917"/>
    <w:rsid w:val="008823D3"/>
    <w:rsid w:val="008A346C"/>
    <w:rsid w:val="008A7163"/>
    <w:rsid w:val="008C5A1E"/>
    <w:rsid w:val="008E03E7"/>
    <w:rsid w:val="009072F5"/>
    <w:rsid w:val="00925262"/>
    <w:rsid w:val="009451B1"/>
    <w:rsid w:val="00990718"/>
    <w:rsid w:val="00A07F86"/>
    <w:rsid w:val="00A25F9A"/>
    <w:rsid w:val="00A364F3"/>
    <w:rsid w:val="00A525A0"/>
    <w:rsid w:val="00A64921"/>
    <w:rsid w:val="00A715D3"/>
    <w:rsid w:val="00A72388"/>
    <w:rsid w:val="00A76239"/>
    <w:rsid w:val="00AA7F1B"/>
    <w:rsid w:val="00AB4B60"/>
    <w:rsid w:val="00AD74DF"/>
    <w:rsid w:val="00B21562"/>
    <w:rsid w:val="00B64A27"/>
    <w:rsid w:val="00B65F39"/>
    <w:rsid w:val="00B93F1D"/>
    <w:rsid w:val="00B95A2C"/>
    <w:rsid w:val="00BA5E2C"/>
    <w:rsid w:val="00BB6202"/>
    <w:rsid w:val="00BD2B09"/>
    <w:rsid w:val="00BD4DAB"/>
    <w:rsid w:val="00BD77B5"/>
    <w:rsid w:val="00C93408"/>
    <w:rsid w:val="00CC305E"/>
    <w:rsid w:val="00CD46E4"/>
    <w:rsid w:val="00CF7060"/>
    <w:rsid w:val="00D00807"/>
    <w:rsid w:val="00D261CC"/>
    <w:rsid w:val="00D5161D"/>
    <w:rsid w:val="00D80EA3"/>
    <w:rsid w:val="00D8308F"/>
    <w:rsid w:val="00D97848"/>
    <w:rsid w:val="00DA4170"/>
    <w:rsid w:val="00DB411A"/>
    <w:rsid w:val="00DC4E5E"/>
    <w:rsid w:val="00DD204E"/>
    <w:rsid w:val="00DE60E3"/>
    <w:rsid w:val="00E10077"/>
    <w:rsid w:val="00E146F4"/>
    <w:rsid w:val="00E255BD"/>
    <w:rsid w:val="00E256F3"/>
    <w:rsid w:val="00E61408"/>
    <w:rsid w:val="00EA4E44"/>
    <w:rsid w:val="00EC1CFB"/>
    <w:rsid w:val="00ED0CC9"/>
    <w:rsid w:val="00ED414D"/>
    <w:rsid w:val="00EF685B"/>
    <w:rsid w:val="00F64B27"/>
    <w:rsid w:val="00F67A29"/>
    <w:rsid w:val="00FA6594"/>
    <w:rsid w:val="00FC3F99"/>
    <w:rsid w:val="00FC6166"/>
    <w:rsid w:val="00FD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8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A7F1B"/>
  </w:style>
  <w:style w:type="table" w:styleId="TableGrid">
    <w:name w:val="Table Grid"/>
    <w:basedOn w:val="TableNormal"/>
    <w:uiPriority w:val="59"/>
    <w:rsid w:val="00F64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119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A7F1B"/>
  </w:style>
  <w:style w:type="table" w:styleId="TableGrid">
    <w:name w:val="Table Grid"/>
    <w:basedOn w:val="TableNormal"/>
    <w:uiPriority w:val="59"/>
    <w:rsid w:val="00F64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1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540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1543</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Isabel Peterson</dc:creator>
  <cp:lastModifiedBy>Andria Schwortz</cp:lastModifiedBy>
  <cp:revision>5</cp:revision>
  <dcterms:created xsi:type="dcterms:W3CDTF">2015-04-12T17:23:00Z</dcterms:created>
  <dcterms:modified xsi:type="dcterms:W3CDTF">2015-04-12T18:34:00Z</dcterms:modified>
</cp:coreProperties>
</file>