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sz w:val="24"/>
        </w:rPr>
      </w:pPr>
      <w:r>
        <w:rPr>
          <w:b/>
          <w:sz w:val="24"/>
        </w:rPr>
        <w:t>Standards</w:t>
      </w:r>
    </w:p>
    <w:p>
      <w:pPr>
        <w:pStyle w:val="Normal"/>
        <w:bidi w:val="0"/>
        <w:jc w:val="left"/>
        <w:rPr>
          <w:b/>
          <w:b/>
          <w:sz w:val="24"/>
        </w:rPr>
      </w:pPr>
      <w:r>
        <w:rPr>
          <w:b/>
          <w:sz w:val="24"/>
        </w:rPr>
      </w:r>
    </w:p>
    <w:p>
      <w:pPr>
        <w:pStyle w:val="Normal"/>
        <w:bidi w:val="0"/>
        <w:jc w:val="left"/>
        <w:rPr/>
      </w:pPr>
      <w:r>
        <w:rPr/>
        <w:t>The standard grading rules:</w:t>
      </w:r>
    </w:p>
    <w:p>
      <w:pPr>
        <w:pStyle w:val="Normal"/>
        <w:bidi w:val="0"/>
        <w:jc w:val="left"/>
        <w:rPr>
          <w:color w:val="76923C" w:themeColor="accent3" w:themeShade="bf"/>
        </w:rPr>
      </w:pPr>
      <w:r>
        <w:rPr>
          <w:color w:val="76923C" w:themeColor="accent3" w:themeShade="bf"/>
        </w:rPr>
        <w:tab/>
      </w:r>
    </w:p>
    <w:p>
      <w:pPr>
        <w:pStyle w:val="Normal"/>
        <w:bidi w:val="0"/>
        <w:ind w:firstLine="720"/>
        <w:jc w:val="left"/>
        <w:rPr>
          <w:color w:val="76923C" w:themeColor="accent3" w:themeShade="bf"/>
        </w:rPr>
      </w:pPr>
      <w:r>
        <w:rPr>
          <w:color w:val="76923C" w:themeColor="accent3" w:themeShade="bf"/>
        </w:rPr>
        <w:t xml:space="preserve">• </w:t>
      </w:r>
      <w:r>
        <w:rPr>
          <w:color w:val="76923C" w:themeColor="accent3" w:themeShade="bf"/>
        </w:rPr>
        <w:t>There are three levels of standards one can achieve: Basic, Advanced, and Proficient</w:t>
      </w:r>
    </w:p>
    <w:p>
      <w:pPr>
        <w:pStyle w:val="Normal"/>
        <w:bidi w:val="0"/>
        <w:jc w:val="left"/>
        <w:rPr>
          <w:color w:val="76923C" w:themeColor="accent3" w:themeShade="bf"/>
        </w:rPr>
      </w:pPr>
      <w:r>
        <w:rPr>
          <w:color w:val="76923C" w:themeColor="accent3" w:themeShade="bf"/>
        </w:rPr>
        <w:tab/>
        <w:t>• The levels are related to learning outcomes according to Bloom’s Taxonomy (see appendix).</w:t>
      </w:r>
    </w:p>
    <w:p>
      <w:pPr>
        <w:pStyle w:val="Normal"/>
        <w:bidi w:val="0"/>
        <w:jc w:val="left"/>
        <w:rPr>
          <w:color w:val="76923C" w:themeColor="accent3" w:themeShade="bf"/>
        </w:rPr>
      </w:pPr>
      <w:r>
        <w:rPr>
          <w:color w:val="76923C" w:themeColor="accent3" w:themeShade="bf"/>
        </w:rPr>
        <w:tab/>
        <w:tab/>
        <w:t xml:space="preserve">Basic Standard </w:t>
        <w:tab/>
        <w:t>= Bloom 1/2</w:t>
        <w:tab/>
        <w:t>- Memorization and Understanding</w:t>
      </w:r>
    </w:p>
    <w:p>
      <w:pPr>
        <w:pStyle w:val="Normal"/>
        <w:bidi w:val="0"/>
        <w:jc w:val="left"/>
        <w:rPr>
          <w:color w:val="76923C" w:themeColor="accent3" w:themeShade="bf"/>
        </w:rPr>
      </w:pPr>
      <w:r>
        <w:rPr>
          <w:color w:val="76923C" w:themeColor="accent3" w:themeShade="bf"/>
        </w:rPr>
        <w:tab/>
        <w:tab/>
        <w:t xml:space="preserve">Advanced Standard </w:t>
        <w:tab/>
        <w:t>= Bloom 2/3</w:t>
        <w:tab/>
        <w:t>- Application and Analysis</w:t>
      </w:r>
    </w:p>
    <w:p>
      <w:pPr>
        <w:pStyle w:val="Normal"/>
        <w:bidi w:val="0"/>
        <w:jc w:val="left"/>
        <w:rPr>
          <w:color w:val="76923C" w:themeColor="accent3" w:themeShade="bf"/>
        </w:rPr>
      </w:pPr>
      <w:r>
        <w:rPr>
          <w:color w:val="76923C" w:themeColor="accent3" w:themeShade="bf"/>
        </w:rPr>
        <w:tab/>
        <w:tab/>
        <w:t>Proficiency Standard</w:t>
        <w:tab/>
        <w:t>= Bloom 3/4</w:t>
        <w:tab/>
        <w:t>- Synthesis/Evaluation/Innovation</w:t>
      </w:r>
    </w:p>
    <w:p>
      <w:pPr>
        <w:pStyle w:val="Normal"/>
        <w:bidi w:val="0"/>
        <w:jc w:val="left"/>
        <w:rPr/>
      </w:pPr>
      <w:r>
        <w:rPr/>
      </w:r>
    </w:p>
    <w:p>
      <w:pPr>
        <w:pStyle w:val="Normal"/>
        <w:bidi w:val="0"/>
        <w:jc w:val="left"/>
        <w:rPr>
          <w:u w:val="single"/>
        </w:rPr>
      </w:pPr>
      <w:r>
        <w:rPr>
          <w:u w:val="single"/>
        </w:rPr>
        <w:t>Where and how to earn Standards</w:t>
      </w:r>
    </w:p>
    <w:p>
      <w:pPr>
        <w:pStyle w:val="Normal"/>
        <w:bidi w:val="0"/>
        <w:jc w:val="left"/>
        <w:rPr>
          <w:u w:val="single"/>
        </w:rPr>
      </w:pPr>
      <w:r>
        <w:rPr>
          <w:u w:val="single"/>
        </w:rPr>
      </w:r>
    </w:p>
    <w:p>
      <w:pPr>
        <w:pStyle w:val="Normal"/>
        <w:bidi w:val="0"/>
        <w:jc w:val="left"/>
        <w:rPr>
          <w:i/>
          <w:i/>
        </w:rPr>
      </w:pPr>
      <w:r>
        <w:rPr>
          <w:i/>
        </w:rPr>
        <w:t xml:space="preserve">To obtain the final grade for standards you will need to accomplish certain landmarks in four areas, called </w:t>
      </w:r>
      <w:r>
        <w:rPr>
          <w:b/>
          <w:i/>
        </w:rPr>
        <w:t>categories</w:t>
      </w:r>
      <w:r>
        <w:rPr>
          <w:i/>
        </w:rPr>
        <w:t>. Some of these can be assessed during lab (in prelab or inlab), during midterm or final exam, others in lecture and seminar, and finally in report writing.</w:t>
      </w:r>
    </w:p>
    <w:p>
      <w:pPr>
        <w:pStyle w:val="Normal"/>
        <w:bidi w:val="0"/>
        <w:jc w:val="left"/>
        <w:rPr/>
      </w:pPr>
      <w:r>
        <w:rPr/>
      </w:r>
    </w:p>
    <w:p>
      <w:pPr>
        <w:pStyle w:val="Normal"/>
        <w:bidi w:val="0"/>
        <w:jc w:val="left"/>
        <w:rPr>
          <w:color w:val="FF0000"/>
        </w:rPr>
      </w:pPr>
      <w:r>
        <w:rPr/>
        <w:t xml:space="preserve">The four </w:t>
      </w:r>
      <w:r>
        <w:rPr>
          <w:u w:val="single"/>
        </w:rPr>
        <w:t>categories</w:t>
      </w:r>
      <w:r>
        <w:rPr/>
        <w:t xml:space="preserve"> are called: experiment, report, math &amp; theory, and COM3 skills. </w:t>
      </w:r>
    </w:p>
    <w:p>
      <w:pPr>
        <w:pStyle w:val="Normal"/>
        <w:bidi w:val="0"/>
        <w:jc w:val="left"/>
        <w:rPr/>
      </w:pPr>
      <w:r>
        <w:rPr/>
      </w:r>
    </w:p>
    <w:p>
      <w:pPr>
        <w:pStyle w:val="Normal"/>
        <w:bidi w:val="0"/>
        <w:jc w:val="left"/>
        <w:rPr/>
      </w:pPr>
      <w:r>
        <w:rPr/>
        <w:t>In order to fulfil</w:t>
      </w:r>
      <w:r>
        <w:rPr/>
        <w:t>l</w:t>
      </w:r>
      <w:r>
        <w:rPr/>
        <w:t xml:space="preserve"> a standard (at any of the three levels) in any category you need to fulfi</w:t>
      </w:r>
      <w:r>
        <w:rPr/>
        <w:t>l</w:t>
      </w:r>
      <w:r>
        <w:rPr/>
        <w:t xml:space="preserve">l the standard in </w:t>
      </w:r>
      <w:r>
        <w:rPr/>
        <w:t>certain of the</w:t>
      </w:r>
      <w:r>
        <w:rPr/>
        <w:t xml:space="preserve"> category’s </w:t>
      </w:r>
      <w:r>
        <w:rPr>
          <w:b/>
          <w:i/>
        </w:rPr>
        <w:t>sub-categories</w:t>
      </w:r>
      <w:r>
        <w:rPr/>
        <w:t xml:space="preserve"> first. You will get access to our master chart for standards that allow you to trace your progress and current standing and see where you have earned a standard. A color coding informs you about standards earned per sub-category in the most recent assignments. </w:t>
      </w:r>
    </w:p>
    <w:p>
      <w:pPr>
        <w:pStyle w:val="Normal"/>
        <w:bidi w:val="0"/>
        <w:jc w:val="left"/>
        <w:rPr/>
      </w:pPr>
      <w:r>
        <w:rPr/>
      </w:r>
    </w:p>
    <w:p>
      <w:pPr>
        <w:pStyle w:val="Normal"/>
        <w:bidi w:val="0"/>
        <w:jc w:val="left"/>
        <w:rPr>
          <w:color w:val="595959" w:themeColor="text1" w:themeTint="a6"/>
        </w:rPr>
      </w:pPr>
      <w:r>
        <w:rPr/>
        <w:t>Here are the sub-categories for each category</w:t>
      </w:r>
      <w:r>
        <w:rPr>
          <w:color w:val="595959" w:themeColor="text1" w:themeTint="a6"/>
        </w:rPr>
        <w:t xml:space="preserve">: </w:t>
      </w:r>
      <w:r>
        <w:rPr>
          <w:b/>
          <w:i/>
        </w:rPr>
        <w:t>(currently under further review)</w:t>
      </w:r>
    </w:p>
    <w:p>
      <w:pPr>
        <w:pStyle w:val="Normal"/>
        <w:bidi w:val="0"/>
        <w:jc w:val="left"/>
        <w:rPr>
          <w:color w:val="595959" w:themeColor="text1" w:themeTint="a6"/>
        </w:rPr>
      </w:pPr>
      <w:r>
        <w:rPr>
          <w:color w:val="595959" w:themeColor="text1" w:themeTint="a6"/>
        </w:rPr>
      </w:r>
    </w:p>
    <w:p>
      <w:pPr>
        <w:pStyle w:val="Normal"/>
        <w:bidi w:val="0"/>
        <w:ind w:left="720" w:hanging="0"/>
        <w:jc w:val="left"/>
        <w:rPr>
          <w:color w:val="595959" w:themeColor="text1" w:themeTint="a6"/>
        </w:rPr>
      </w:pPr>
      <w:r>
        <w:rPr>
          <w:color w:val="595959" w:themeColor="text1" w:themeTint="a6"/>
        </w:rPr>
        <w:t xml:space="preserve">• </w:t>
      </w:r>
      <w:r>
        <w:rPr>
          <w:b/>
          <w:i/>
          <w:color w:val="C00000"/>
        </w:rPr>
        <w:t>experiment</w:t>
      </w:r>
      <w:r>
        <w:rPr>
          <w:b/>
          <w:color w:val="C00000"/>
        </w:rPr>
        <w:t>:</w:t>
      </w:r>
      <w:r>
        <w:rPr>
          <w:color w:val="C00000"/>
        </w:rPr>
        <w:t xml:space="preserve"> </w:t>
      </w:r>
      <w:r>
        <w:rPr>
          <w:color w:val="595959" w:themeColor="text1" w:themeTint="a6"/>
        </w:rPr>
        <w:tab/>
        <w:t xml:space="preserve">Safety, </w:t>
      </w:r>
    </w:p>
    <w:p>
      <w:pPr>
        <w:pStyle w:val="Normal"/>
        <w:bidi w:val="0"/>
        <w:ind w:left="1440" w:firstLine="720"/>
        <w:jc w:val="left"/>
        <w:rPr>
          <w:color w:val="595959" w:themeColor="text1" w:themeTint="a6"/>
        </w:rPr>
      </w:pPr>
      <w:r>
        <w:rPr>
          <w:color w:val="595959" w:themeColor="text1" w:themeTint="a6"/>
        </w:rPr>
        <w:t xml:space="preserve">Basic Lab Skills and Mastery of Advanced Apparatus, </w:t>
      </w:r>
    </w:p>
    <w:p>
      <w:pPr>
        <w:pStyle w:val="Normal"/>
        <w:bidi w:val="0"/>
        <w:ind w:left="1440" w:firstLine="720"/>
        <w:jc w:val="left"/>
        <w:rPr>
          <w:color w:val="595959" w:themeColor="text1" w:themeTint="a6"/>
        </w:rPr>
      </w:pPr>
      <w:r>
        <w:rPr>
          <w:color w:val="595959" w:themeColor="text1" w:themeTint="a6"/>
        </w:rPr>
        <w:t xml:space="preserve">Random Error and Systematic Error, </w:t>
      </w:r>
    </w:p>
    <w:p>
      <w:pPr>
        <w:pStyle w:val="Normal"/>
        <w:bidi w:val="0"/>
        <w:ind w:left="1440" w:firstLine="720"/>
        <w:jc w:val="left"/>
        <w:rPr>
          <w:color w:val="595959" w:themeColor="text1" w:themeTint="a6"/>
        </w:rPr>
      </w:pPr>
      <w:r>
        <w:rPr>
          <w:color w:val="595959" w:themeColor="text1" w:themeTint="a6"/>
        </w:rPr>
        <w:t>Data Decision Making</w:t>
      </w:r>
    </w:p>
    <w:p>
      <w:pPr>
        <w:pStyle w:val="Normal"/>
        <w:bidi w:val="0"/>
        <w:ind w:left="720" w:hanging="0"/>
        <w:jc w:val="left"/>
        <w:rPr>
          <w:b/>
          <w:b/>
          <w:color w:val="595959" w:themeColor="text1" w:themeTint="a6"/>
        </w:rPr>
      </w:pPr>
      <w:r>
        <w:rPr>
          <w:b/>
          <w:color w:val="595959" w:themeColor="text1" w:themeTint="a6"/>
        </w:rPr>
        <w:t>4 sub-categories</w:t>
      </w:r>
    </w:p>
    <w:p>
      <w:pPr>
        <w:pStyle w:val="Normal"/>
        <w:bidi w:val="0"/>
        <w:jc w:val="left"/>
        <w:rPr/>
      </w:pPr>
      <w:r>
        <w:rPr/>
      </w:r>
    </w:p>
    <w:p>
      <w:pPr>
        <w:pStyle w:val="Normal"/>
        <w:bidi w:val="0"/>
        <w:ind w:left="720" w:hanging="0"/>
        <w:jc w:val="left"/>
        <w:rPr>
          <w:color w:val="595959" w:themeColor="text1" w:themeTint="a6"/>
        </w:rPr>
      </w:pPr>
      <w:r>
        <w:rPr>
          <w:color w:val="595959" w:themeColor="text1" w:themeTint="a6"/>
        </w:rPr>
        <w:t xml:space="preserve">• </w:t>
      </w:r>
      <w:r>
        <w:rPr>
          <w:b/>
          <w:i/>
          <w:color w:val="C00000"/>
        </w:rPr>
        <w:t>report</w:t>
      </w:r>
      <w:r>
        <w:rPr>
          <w:b/>
          <w:color w:val="C00000"/>
        </w:rPr>
        <w:t>:</w:t>
      </w:r>
      <w:r>
        <w:rPr/>
        <w:t xml:space="preserve"> </w:t>
        <w:tab/>
      </w:r>
      <w:r>
        <w:rPr>
          <w:color w:val="595959" w:themeColor="text1" w:themeTint="a6"/>
        </w:rPr>
        <w:t xml:space="preserve">Writing Metrics, </w:t>
      </w:r>
    </w:p>
    <w:p>
      <w:pPr>
        <w:pStyle w:val="Normal"/>
        <w:bidi w:val="0"/>
        <w:ind w:left="1440" w:firstLine="720"/>
        <w:jc w:val="left"/>
        <w:rPr>
          <w:color w:val="595959" w:themeColor="text1" w:themeTint="a6"/>
        </w:rPr>
      </w:pPr>
      <w:r>
        <w:rPr>
          <w:color w:val="595959" w:themeColor="text1" w:themeTint="a6"/>
        </w:rPr>
        <w:t xml:space="preserve">Paragraph Design and Chapter Integration, </w:t>
      </w:r>
    </w:p>
    <w:p>
      <w:pPr>
        <w:pStyle w:val="Normal"/>
        <w:bidi w:val="0"/>
        <w:ind w:left="1440" w:firstLine="720"/>
        <w:jc w:val="left"/>
        <w:rPr>
          <w:color w:val="595959" w:themeColor="text1" w:themeTint="a6"/>
        </w:rPr>
      </w:pPr>
      <w:r>
        <w:rPr>
          <w:color w:val="595959" w:themeColor="text1" w:themeTint="a6"/>
        </w:rPr>
        <w:t xml:space="preserve">Report Chapter Content (including lab book), </w:t>
      </w:r>
    </w:p>
    <w:p>
      <w:pPr>
        <w:pStyle w:val="Normal"/>
        <w:bidi w:val="0"/>
        <w:ind w:left="1440" w:firstLine="720"/>
        <w:jc w:val="left"/>
        <w:rPr>
          <w:color w:val="595959" w:themeColor="text1" w:themeTint="a6"/>
        </w:rPr>
      </w:pPr>
      <w:r>
        <w:rPr>
          <w:color w:val="595959" w:themeColor="text1" w:themeTint="a6"/>
        </w:rPr>
        <w:t xml:space="preserve">Bibliography, Research, and Deadlines  </w:t>
      </w:r>
    </w:p>
    <w:p>
      <w:pPr>
        <w:pStyle w:val="Normal"/>
        <w:bidi w:val="0"/>
        <w:ind w:left="720" w:hanging="0"/>
        <w:jc w:val="left"/>
        <w:rPr>
          <w:b/>
          <w:b/>
          <w:color w:val="595959" w:themeColor="text1" w:themeTint="a6"/>
        </w:rPr>
      </w:pPr>
      <w:r>
        <w:rPr>
          <w:b/>
          <w:color w:val="595959" w:themeColor="text1" w:themeTint="a6"/>
        </w:rPr>
        <w:t>4 sub-categories</w:t>
      </w:r>
    </w:p>
    <w:p>
      <w:pPr>
        <w:pStyle w:val="Normal"/>
        <w:bidi w:val="0"/>
        <w:jc w:val="left"/>
        <w:rPr>
          <w:color w:val="595959" w:themeColor="text1" w:themeTint="a6"/>
        </w:rPr>
      </w:pPr>
      <w:r>
        <w:rPr>
          <w:color w:val="595959" w:themeColor="text1" w:themeTint="a6"/>
        </w:rPr>
      </w:r>
    </w:p>
    <w:p>
      <w:pPr>
        <w:pStyle w:val="Normal"/>
        <w:bidi w:val="0"/>
        <w:jc w:val="left"/>
        <w:rPr>
          <w:color w:val="595959" w:themeColor="text1" w:themeTint="a6"/>
        </w:rPr>
      </w:pPr>
      <w:r>
        <w:rPr>
          <w:color w:val="595959" w:themeColor="text1" w:themeTint="a6"/>
        </w:rPr>
        <w:tab/>
        <w:t xml:space="preserve">• </w:t>
      </w:r>
      <w:r>
        <w:rPr>
          <w:b/>
          <w:i/>
          <w:color w:val="C00000"/>
        </w:rPr>
        <w:t>math &amp; theory</w:t>
      </w:r>
      <w:r>
        <w:rPr>
          <w:b/>
          <w:color w:val="C00000"/>
        </w:rPr>
        <w:t>:</w:t>
      </w:r>
      <w:r>
        <w:rPr/>
        <w:t xml:space="preserve"> </w:t>
        <w:tab/>
      </w:r>
      <w:r>
        <w:rPr>
          <w:color w:val="595959" w:themeColor="text1" w:themeTint="a6"/>
        </w:rPr>
        <w:t xml:space="preserve">Preparation, </w:t>
      </w:r>
    </w:p>
    <w:p>
      <w:pPr>
        <w:pStyle w:val="Normal"/>
        <w:bidi w:val="0"/>
        <w:jc w:val="left"/>
        <w:rPr>
          <w:color w:val="595959" w:themeColor="text1" w:themeTint="a6"/>
        </w:rPr>
      </w:pPr>
      <w:r>
        <w:rPr>
          <w:color w:val="595959" w:themeColor="text1" w:themeTint="a6"/>
        </w:rPr>
        <w:tab/>
        <w:tab/>
        <w:tab/>
        <w:t>Math and distributions,</w:t>
      </w:r>
    </w:p>
    <w:p>
      <w:pPr>
        <w:pStyle w:val="Normal"/>
        <w:bidi w:val="0"/>
        <w:jc w:val="left"/>
        <w:rPr>
          <w:color w:val="595959" w:themeColor="text1" w:themeTint="a6"/>
        </w:rPr>
      </w:pPr>
      <w:r>
        <w:rPr>
          <w:color w:val="595959" w:themeColor="text1" w:themeTint="a6"/>
        </w:rPr>
        <w:tab/>
        <w:tab/>
        <w:tab/>
        <w:t>Theory and models,</w:t>
      </w:r>
    </w:p>
    <w:p>
      <w:pPr>
        <w:pStyle w:val="Normal"/>
        <w:bidi w:val="0"/>
        <w:jc w:val="left"/>
        <w:rPr>
          <w:color w:val="595959" w:themeColor="text1" w:themeTint="a6"/>
        </w:rPr>
      </w:pPr>
      <w:r>
        <w:rPr>
          <w:color w:val="595959" w:themeColor="text1" w:themeTint="a6"/>
        </w:rPr>
        <w:tab/>
        <w:tab/>
        <w:tab/>
        <w:t>Data fitting and Derivations</w:t>
      </w:r>
    </w:p>
    <w:p>
      <w:pPr>
        <w:pStyle w:val="Normal"/>
        <w:bidi w:val="0"/>
        <w:ind w:firstLine="720"/>
        <w:jc w:val="left"/>
        <w:rPr>
          <w:b/>
          <w:b/>
          <w:color w:val="595959" w:themeColor="text1" w:themeTint="a6"/>
        </w:rPr>
      </w:pPr>
      <w:r>
        <w:rPr>
          <w:b/>
          <w:color w:val="595959" w:themeColor="text1" w:themeTint="a6"/>
        </w:rPr>
        <w:t>4 sub-categories</w:t>
      </w:r>
    </w:p>
    <w:p>
      <w:pPr>
        <w:pStyle w:val="Normal"/>
        <w:bidi w:val="0"/>
        <w:jc w:val="left"/>
        <w:rPr>
          <w:color w:val="595959" w:themeColor="text1" w:themeTint="a6"/>
        </w:rPr>
      </w:pPr>
      <w:r>
        <w:rPr>
          <w:color w:val="595959" w:themeColor="text1" w:themeTint="a6"/>
        </w:rPr>
        <w:tab/>
      </w:r>
    </w:p>
    <w:p>
      <w:pPr>
        <w:pStyle w:val="Normal"/>
        <w:bidi w:val="0"/>
        <w:ind w:firstLine="720"/>
        <w:jc w:val="left"/>
        <w:rPr>
          <w:color w:val="595959" w:themeColor="text1" w:themeTint="a6"/>
        </w:rPr>
      </w:pPr>
      <w:r>
        <w:rPr>
          <w:color w:val="595959" w:themeColor="text1" w:themeTint="a6"/>
        </w:rPr>
        <w:t xml:space="preserve">• </w:t>
      </w:r>
      <w:r>
        <w:rPr>
          <w:b/>
          <w:i/>
          <w:color w:val="C00000"/>
        </w:rPr>
        <w:t>COM3 skills</w:t>
      </w:r>
      <w:r>
        <w:rPr>
          <w:b/>
          <w:color w:val="C00000"/>
        </w:rPr>
        <w:t>:</w:t>
      </w:r>
      <w:r>
        <w:rPr>
          <w:color w:val="C00000"/>
        </w:rPr>
        <w:t xml:space="preserve"> </w:t>
      </w:r>
      <w:r>
        <w:rPr>
          <w:color w:val="595959" w:themeColor="text1" w:themeTint="a6"/>
        </w:rPr>
        <w:tab/>
        <w:t xml:space="preserve">IT usage and Jargon, </w:t>
      </w:r>
    </w:p>
    <w:p>
      <w:pPr>
        <w:pStyle w:val="Normal"/>
        <w:bidi w:val="0"/>
        <w:ind w:left="1440" w:firstLine="720"/>
        <w:jc w:val="left"/>
        <w:rPr>
          <w:color w:val="595959" w:themeColor="text1" w:themeTint="a6"/>
        </w:rPr>
      </w:pPr>
      <w:r>
        <w:rPr>
          <w:color w:val="595959" w:themeColor="text1" w:themeTint="a6"/>
        </w:rPr>
        <w:t xml:space="preserve">Peer Group and Professional Standards </w:t>
      </w:r>
    </w:p>
    <w:p>
      <w:pPr>
        <w:pStyle w:val="Normal"/>
        <w:bidi w:val="0"/>
        <w:ind w:left="1440" w:firstLine="720"/>
        <w:jc w:val="left"/>
        <w:rPr>
          <w:color w:val="595959" w:themeColor="text1" w:themeTint="a6"/>
        </w:rPr>
      </w:pPr>
      <w:r>
        <w:rPr>
          <w:color w:val="595959" w:themeColor="text1" w:themeTint="a6"/>
        </w:rPr>
        <w:t>Presentation,</w:t>
      </w:r>
    </w:p>
    <w:p>
      <w:pPr>
        <w:pStyle w:val="Normal"/>
        <w:bidi w:val="0"/>
        <w:ind w:left="1440" w:firstLine="720"/>
        <w:jc w:val="left"/>
        <w:rPr>
          <w:color w:val="595959" w:themeColor="text1" w:themeTint="a6"/>
        </w:rPr>
      </w:pPr>
      <w:r>
        <w:rPr>
          <w:color w:val="595959" w:themeColor="text1" w:themeTint="a6"/>
        </w:rPr>
        <w:t>Audience and Confidence/Delivery</w:t>
      </w:r>
    </w:p>
    <w:p>
      <w:pPr>
        <w:pStyle w:val="Normal"/>
        <w:bidi w:val="0"/>
        <w:ind w:firstLine="720"/>
        <w:jc w:val="left"/>
        <w:rPr>
          <w:b/>
          <w:b/>
          <w:color w:val="595959" w:themeColor="text1" w:themeTint="a6"/>
        </w:rPr>
      </w:pPr>
      <w:r>
        <w:rPr>
          <w:b/>
          <w:color w:val="595959" w:themeColor="text1" w:themeTint="a6"/>
        </w:rPr>
        <w:t>4 sub-categories</w:t>
      </w:r>
    </w:p>
    <w:p>
      <w:pPr>
        <w:pStyle w:val="Normal"/>
        <w:bidi w:val="0"/>
        <w:jc w:val="left"/>
        <w:rPr>
          <w:color w:val="595959" w:themeColor="text1" w:themeTint="a6"/>
        </w:rPr>
      </w:pPr>
      <w:r>
        <w:rPr>
          <w:color w:val="595959" w:themeColor="text1" w:themeTint="a6"/>
        </w:rPr>
      </w:r>
    </w:p>
    <w:p>
      <w:pPr>
        <w:pStyle w:val="Normal"/>
        <w:bidi w:val="0"/>
        <w:jc w:val="left"/>
        <w:rPr/>
      </w:pPr>
      <w:r>
        <w:rPr/>
      </w:r>
    </w:p>
    <w:p>
      <w:pPr>
        <w:pStyle w:val="Normal"/>
        <w:bidi w:val="0"/>
        <w:jc w:val="left"/>
        <w:rPr/>
      </w:pPr>
      <w:r>
        <w:rPr/>
        <w:t>Some of the sub-categories are self-explanatory, on others we will comment further as we reach the assessment stage. Our actual list of standards is longer than the sixteen subcategories and is fully visible on the google sheets page where the standard record is kept. Rules are further explained on that page. An input of “1” means basic standard, “2” means advanced standard and “3” stands for proficient standard. Note, that only the category standards are turned into grades.</w:t>
      </w:r>
    </w:p>
    <w:p>
      <w:pPr>
        <w:pStyle w:val="Normal"/>
        <w:bidi w:val="0"/>
        <w:jc w:val="left"/>
        <w:rPr/>
      </w:pPr>
      <w:r>
        <w:rPr>
          <w:vertAlign w:val="superscript"/>
        </w:rPr>
        <w:t xml:space="preserve"> </w:t>
      </w:r>
    </w:p>
    <w:p>
      <w:pPr>
        <w:pStyle w:val="Normal"/>
        <w:bidi w:val="0"/>
        <w:jc w:val="left"/>
        <w:rPr/>
      </w:pPr>
      <w:r>
        <w:rPr/>
        <w:t>202</w:t>
      </w:r>
      <w:r>
        <w:rPr/>
        <w:t>1</w:t>
      </w:r>
      <w:r>
        <w:rPr/>
        <w:t xml:space="preserve"> standard sheets  </w:t>
      </w:r>
      <w:r>
        <w:fldChar w:fldCharType="begin"/>
      </w:r>
      <w:r>
        <w:rPr>
          <w:rStyle w:val="InternetLink"/>
          <w:sz w:val="24"/>
          <w:u w:val="single"/>
          <w:kern w:val="2"/>
          <w:szCs w:val="24"/>
          <w:rFonts w:eastAsia="NSimSun" w:cs="Lucida Sans"/>
        </w:rPr>
        <w:instrText> HYPERLINK "https://docs.google.com/spreadsheets/d/1oOZ_OdwQ_XEadQj66bqQrrzESstxel4zbgdK4TsctgM/edit" \l "gid=0"</w:instrText>
      </w:r>
      <w:r>
        <w:rPr>
          <w:rStyle w:val="InternetLink"/>
          <w:sz w:val="24"/>
          <w:u w:val="single"/>
          <w:kern w:val="2"/>
          <w:szCs w:val="24"/>
          <w:rFonts w:eastAsia="NSimSun" w:cs="Lucida Sans"/>
        </w:rPr>
        <w:fldChar w:fldCharType="separate"/>
      </w:r>
      <w:r>
        <w:rPr>
          <w:rStyle w:val="InternetLink"/>
          <w:rFonts w:eastAsia="NSimSun" w:cs="Lucida Sans"/>
          <w:color w:val="000080"/>
          <w:kern w:val="2"/>
          <w:sz w:val="24"/>
          <w:szCs w:val="24"/>
          <w:u w:val="single"/>
          <w:lang w:val="en-US" w:eastAsia="zxx" w:bidi="zxx"/>
        </w:rPr>
        <w:t>t</w:t>
      </w:r>
      <w:r>
        <w:rPr>
          <w:rStyle w:val="InternetLink"/>
          <w:sz w:val="24"/>
          <w:u w:val="single"/>
          <w:kern w:val="2"/>
          <w:szCs w:val="24"/>
          <w:rFonts w:eastAsia="NSimSun" w:cs="Lucida Sans"/>
        </w:rPr>
        <w:fldChar w:fldCharType="end"/>
      </w:r>
      <w:r>
        <w:rPr>
          <w:rFonts w:eastAsia="NSimSun" w:cs="Lucida Sans"/>
          <w:color w:val="000080"/>
          <w:kern w:val="2"/>
          <w:sz w:val="24"/>
          <w:szCs w:val="24"/>
          <w:u w:val="single"/>
          <w:lang w:val="en-US" w:eastAsia="zxx" w:bidi="zxx"/>
        </w:rPr>
        <w:t>bd</w:t>
      </w:r>
    </w:p>
    <w:p>
      <w:pPr>
        <w:pStyle w:val="Normal"/>
        <w:bidi w:val="0"/>
        <w:jc w:val="left"/>
        <w:rPr>
          <w:rFonts w:ascii="Liberation Serif" w:hAnsi="Liberation Serif" w:eastAsia="NSimSun" w:cs="Lucida Sans"/>
          <w:color w:val="000080"/>
          <w:kern w:val="2"/>
          <w:sz w:val="24"/>
          <w:szCs w:val="24"/>
          <w:u w:val="single"/>
          <w:lang w:val="en-US" w:eastAsia="zxx" w:bidi="zxx"/>
        </w:rPr>
      </w:pPr>
      <w:r>
        <w:rPr/>
      </w:r>
    </w:p>
    <w:p>
      <w:pPr>
        <w:pStyle w:val="Normal"/>
        <w:bidi w:val="0"/>
        <w:jc w:val="left"/>
        <w:rPr/>
      </w:pPr>
      <w:r>
        <w:rPr>
          <w:u w:val="single"/>
        </w:rPr>
        <w:t>Further Standard rules</w:t>
      </w:r>
    </w:p>
    <w:p>
      <w:pPr>
        <w:pStyle w:val="Normal"/>
        <w:bidi w:val="0"/>
        <w:jc w:val="left"/>
        <w:rPr/>
      </w:pPr>
      <w:r>
        <w:rPr/>
      </w:r>
    </w:p>
    <w:p>
      <w:pPr>
        <w:pStyle w:val="Normal"/>
        <w:bidi w:val="0"/>
        <w:ind w:left="720" w:hanging="0"/>
        <w:jc w:val="left"/>
        <w:rPr/>
      </w:pPr>
      <w:r>
        <w:rPr/>
        <w:t xml:space="preserve">• </w:t>
      </w:r>
      <w:r>
        <w:rPr/>
        <w:t>Before you fulfi</w:t>
      </w:r>
      <w:r>
        <w:rPr/>
        <w:t>l</w:t>
      </w:r>
      <w:r>
        <w:rPr/>
        <w:t>l a higher level standard you have to fulfi</w:t>
      </w:r>
      <w:r>
        <w:rPr/>
        <w:t>l</w:t>
      </w:r>
      <w:r>
        <w:rPr/>
        <w:t xml:space="preserve">l the respective lower level standards in each sub-category. </w:t>
      </w:r>
    </w:p>
    <w:p>
      <w:pPr>
        <w:pStyle w:val="Normal"/>
        <w:bidi w:val="0"/>
        <w:ind w:left="720" w:hanging="0"/>
        <w:jc w:val="left"/>
        <w:rPr/>
      </w:pPr>
      <w:r>
        <w:rPr/>
      </w:r>
    </w:p>
    <w:p>
      <w:pPr>
        <w:pStyle w:val="Normal"/>
        <w:bidi w:val="0"/>
        <w:ind w:left="720" w:hanging="0"/>
        <w:jc w:val="left"/>
        <w:rPr/>
      </w:pPr>
      <w:r>
        <w:rPr/>
        <w:t xml:space="preserve">• </w:t>
      </w:r>
      <w:r>
        <w:rPr/>
        <w:t xml:space="preserve">In a given subcategory you can only earn one Bloom’s level per day. </w:t>
      </w:r>
    </w:p>
    <w:p>
      <w:pPr>
        <w:pStyle w:val="Normal"/>
        <w:bidi w:val="0"/>
        <w:ind w:left="720" w:hanging="0"/>
        <w:jc w:val="left"/>
        <w:rPr/>
      </w:pPr>
      <w:r>
        <w:rPr/>
      </w:r>
    </w:p>
    <w:p>
      <w:pPr>
        <w:pStyle w:val="Normal"/>
        <w:bidi w:val="0"/>
        <w:ind w:left="720" w:hanging="0"/>
        <w:jc w:val="left"/>
        <w:rPr/>
      </w:pPr>
      <w:r>
        <w:rPr/>
        <w:t xml:space="preserve">• </w:t>
      </w:r>
      <w:r>
        <w:rPr/>
        <w:t xml:space="preserve">If you fail a standard sub-category you can retake it as often as there is time for, but not on the same day (with the exception of the final exam when you can retake any standard as often as needed and time permitting). </w:t>
      </w:r>
    </w:p>
    <w:p>
      <w:pPr>
        <w:pStyle w:val="Normal"/>
        <w:bidi w:val="0"/>
        <w:ind w:left="720" w:hanging="0"/>
        <w:jc w:val="left"/>
        <w:rPr/>
      </w:pPr>
      <w:r>
        <w:rPr/>
      </w:r>
    </w:p>
    <w:p>
      <w:pPr>
        <w:pStyle w:val="Normal"/>
        <w:bidi w:val="0"/>
        <w:ind w:left="720" w:hanging="0"/>
        <w:jc w:val="left"/>
        <w:rPr/>
      </w:pPr>
      <w:r>
        <w:rPr/>
        <w:t xml:space="preserve">• </w:t>
      </w:r>
      <w:r>
        <w:rPr/>
        <w:t xml:space="preserve">Some standards you will fill implicitly and we will inform you at the end of the day or the next day by updating the standard sheet for the day or when a lab report is returned. </w:t>
      </w:r>
      <w:r>
        <w:rPr/>
        <w:t>They will often show up in Google Sheets as miscellaneous.</w:t>
      </w:r>
      <w:r>
        <w:rPr/>
        <w:t xml:space="preserve"> </w:t>
      </w:r>
    </w:p>
    <w:p>
      <w:pPr>
        <w:pStyle w:val="Normal"/>
        <w:bidi w:val="0"/>
        <w:ind w:firstLine="720"/>
        <w:jc w:val="left"/>
        <w:rPr/>
      </w:pPr>
      <w:r>
        <w:rPr/>
      </w:r>
    </w:p>
    <w:p>
      <w:pPr>
        <w:pStyle w:val="Normal"/>
        <w:bidi w:val="0"/>
        <w:ind w:left="720" w:hanging="0"/>
        <w:jc w:val="left"/>
        <w:rPr/>
      </w:pPr>
      <w:r>
        <w:rPr/>
        <w:t xml:space="preserve">• </w:t>
      </w:r>
      <w:r>
        <w:rPr/>
        <w:t xml:space="preserve">We may also explain on certain occasions why you may have not passed a standard to guide you toward best practices. </w:t>
      </w:r>
    </w:p>
    <w:p>
      <w:pPr>
        <w:pStyle w:val="Normal"/>
        <w:bidi w:val="0"/>
        <w:ind w:firstLine="720"/>
        <w:jc w:val="left"/>
        <w:rPr/>
      </w:pPr>
      <w:r>
        <w:rPr/>
      </w:r>
    </w:p>
    <w:p>
      <w:pPr>
        <w:pStyle w:val="Normal"/>
        <w:bidi w:val="0"/>
        <w:ind w:left="720" w:hanging="0"/>
        <w:jc w:val="left"/>
        <w:rPr/>
      </w:pPr>
      <w:r>
        <w:rPr/>
        <w:t xml:space="preserve">• </w:t>
      </w:r>
      <w:r>
        <w:rPr/>
        <w:t xml:space="preserve">The lab TAs can award basic standards. Advanced and Proficiency standards are only awarded by the instructor. </w:t>
      </w:r>
    </w:p>
    <w:p>
      <w:pPr>
        <w:pStyle w:val="Normal"/>
        <w:bidi w:val="0"/>
        <w:ind w:left="720" w:hanging="0"/>
        <w:jc w:val="left"/>
        <w:rPr/>
      </w:pPr>
      <w:r>
        <w:rPr/>
      </w:r>
    </w:p>
    <w:p>
      <w:pPr>
        <w:pStyle w:val="Normal"/>
        <w:bidi w:val="0"/>
        <w:ind w:left="720" w:hanging="0"/>
        <w:jc w:val="left"/>
        <w:rPr/>
      </w:pPr>
      <w:r>
        <w:rPr/>
        <w:t xml:space="preserve">• </w:t>
      </w:r>
      <w:r>
        <w:rPr/>
        <w:t>As term progresses, students may want to be proactive, for example, they can state at the beginning of a prelab ‘I am going for a standard in systematic error and data fitting’.</w:t>
      </w:r>
    </w:p>
    <w:p>
      <w:pPr>
        <w:pStyle w:val="Normal"/>
        <w:bidi w:val="0"/>
        <w:jc w:val="left"/>
        <w:rPr/>
      </w:pPr>
      <w:r>
        <w:rPr/>
      </w:r>
    </w:p>
    <w:p>
      <w:pPr>
        <w:pStyle w:val="Normal"/>
        <w:bidi w:val="0"/>
        <w:jc w:val="left"/>
        <w:rPr/>
      </w:pPr>
      <w:r>
        <w:rPr/>
        <w:t>The roster of achieved standards is anonymous. You can see where all the other students stand relative to you, but you won’t know who they are. If you tell any peer who you are on the anonymous roster you are in effect giving up your anonymity.</w:t>
      </w:r>
    </w:p>
    <w:p>
      <w:pPr>
        <w:pStyle w:val="Normal"/>
        <w:bidi w:val="0"/>
        <w:jc w:val="left"/>
        <w:rPr>
          <w:b/>
          <w:b/>
          <w:u w:val="single"/>
        </w:rPr>
      </w:pPr>
      <w:r>
        <w:rPr>
          <w:b/>
          <w:u w:val="single"/>
        </w:rPr>
      </w:r>
    </w:p>
    <w:p>
      <w:pPr>
        <w:pStyle w:val="Normal"/>
        <w:bidi w:val="0"/>
        <w:jc w:val="left"/>
        <w:rPr>
          <w:b/>
          <w:b/>
        </w:rPr>
      </w:pPr>
      <w:r>
        <w:rPr>
          <w:b/>
          <w:u w:val="single"/>
        </w:rPr>
        <w:t>How awarded standards are converted into standard grades</w:t>
      </w:r>
      <w:r>
        <w:rPr>
          <w:b/>
        </w:rPr>
        <w:t>:</w:t>
      </w:r>
    </w:p>
    <w:p>
      <w:pPr>
        <w:pStyle w:val="Normal"/>
        <w:bidi w:val="0"/>
        <w:jc w:val="left"/>
        <w:rPr/>
      </w:pPr>
      <w:r>
        <w:rPr/>
      </w:r>
    </w:p>
    <w:p>
      <w:pPr>
        <w:pStyle w:val="Normal"/>
        <w:bidi w:val="0"/>
        <w:jc w:val="left"/>
        <w:rPr>
          <w:color w:val="FF0000"/>
        </w:rPr>
      </w:pPr>
      <w:r>
        <w:rPr/>
        <w:t>In order to get any grade from standards you need to accumulate enough sub-category standards to fulfil</w:t>
      </w:r>
      <w:r>
        <w:rPr/>
        <w:t>l</w:t>
      </w:r>
      <w:r>
        <w:rPr/>
        <w:t xml:space="preserve"> the standard for the whole category. You will have to go through the whole procedure again to reach an advanced standard, only this time at the advanced Bloom’s level; and then again for the proficiency level. In order to get the category basic or advanced standard you will need to achieve a basic/advanced standard in each sub-category. In order to get the proficient standard in a category, you need a proficient standard in all but one sub-category. (under revision)</w:t>
      </w:r>
    </w:p>
    <w:p>
      <w:pPr>
        <w:pStyle w:val="Normal"/>
        <w:bidi w:val="0"/>
        <w:jc w:val="left"/>
        <w:rPr/>
      </w:pPr>
      <w:r>
        <w:rPr/>
      </w:r>
    </w:p>
    <w:p>
      <w:pPr>
        <w:pStyle w:val="Normal"/>
        <w:bidi w:val="0"/>
        <w:jc w:val="left"/>
        <w:rPr/>
      </w:pPr>
      <w:r>
        <w:rPr/>
        <w:t>Based on these achieved category standards, I will determine your per cent grade for the 20% of the course grade, which are standard based. A proficiency standard category counts 5% toward the overall standard grade, an advanced standard category counts 4.25%, and a basic standard category counts 3%.</w:t>
      </w:r>
    </w:p>
    <w:p>
      <w:pPr>
        <w:pStyle w:val="Normal"/>
        <w:bidi w:val="0"/>
        <w:jc w:val="left"/>
        <w:rPr>
          <w:color w:val="595959" w:themeColor="text1" w:themeTint="a6"/>
        </w:rPr>
      </w:pPr>
      <w:r>
        <w:rPr>
          <w:color w:val="595959" w:themeColor="text1" w:themeTint="a6"/>
        </w:rPr>
      </w:r>
    </w:p>
    <w:p>
      <w:pPr>
        <w:pStyle w:val="Normal"/>
        <w:bidi w:val="0"/>
        <w:jc w:val="left"/>
        <w:rPr>
          <w:color w:val="595959" w:themeColor="text1" w:themeTint="a6"/>
        </w:rPr>
      </w:pPr>
      <w:r>
        <w:rPr>
          <w:i/>
          <w:color w:val="595959" w:themeColor="text1" w:themeTint="a6"/>
          <w:sz w:val="18"/>
        </w:rPr>
        <w:t xml:space="preserve"> </w:t>
      </w:r>
      <w:r>
        <w:rPr>
          <w:color w:val="595959" w:themeColor="text1" w:themeTint="a6"/>
        </w:rPr>
        <w:t>A few examples to familiarize you with what you want to strive for: (number work under review)</w:t>
      </w:r>
    </w:p>
    <w:p>
      <w:pPr>
        <w:pStyle w:val="Normal"/>
        <w:bidi w:val="0"/>
        <w:jc w:val="left"/>
        <w:rPr/>
      </w:pPr>
      <w:r>
        <w:rPr/>
        <w:tab/>
        <w:tab/>
        <w:tab/>
        <w:t xml:space="preserve">      </w:t>
      </w:r>
    </w:p>
    <w:p>
      <w:pPr>
        <w:pStyle w:val="Normal"/>
        <w:overflowPunct w:val="false"/>
        <w:bidi w:val="0"/>
        <w:jc w:val="left"/>
        <w:textAlignment w:val="auto"/>
        <w:rPr>
          <w:i/>
          <w:i/>
          <w:sz w:val="18"/>
        </w:rPr>
      </w:pPr>
      <w:r>
        <w:rPr>
          <w:i/>
          <w:sz w:val="18"/>
        </w:rPr>
        <w:tab/>
        <w:t xml:space="preserve">   </w:t>
        <w:tab/>
        <w:tab/>
        <w:tab/>
        <w:tab/>
        <w:tab/>
      </w:r>
    </w:p>
    <w:p>
      <w:pPr>
        <w:pStyle w:val="Normal"/>
        <w:overflowPunct w:val="false"/>
        <w:bidi w:val="0"/>
        <w:jc w:val="left"/>
        <w:textAlignment w:val="auto"/>
        <w:rPr>
          <w:i/>
          <w:i/>
          <w:sz w:val="18"/>
        </w:rPr>
      </w:pPr>
      <w:r>
        <w:rPr>
          <w:b/>
          <w:i/>
          <w:sz w:val="18"/>
        </w:rPr>
        <w:t>4 P</w:t>
      </w:r>
      <w:r>
        <w:rPr>
          <w:i/>
          <w:sz w:val="18"/>
        </w:rPr>
        <w:tab/>
        <w:t xml:space="preserve"> 20    100 %   A</w:t>
        <w:tab/>
      </w:r>
      <w:r>
        <w:rPr>
          <w:b/>
          <w:i/>
          <w:sz w:val="18"/>
        </w:rPr>
        <w:t>1P2A1B</w:t>
      </w:r>
      <w:r>
        <w:rPr>
          <w:i/>
          <w:sz w:val="18"/>
        </w:rPr>
        <w:tab/>
        <w:t xml:space="preserve">  16.5  82.5  B</w:t>
        <w:tab/>
      </w:r>
      <w:r>
        <w:rPr>
          <w:b/>
          <w:i/>
          <w:sz w:val="18"/>
        </w:rPr>
        <w:t>1A3B</w:t>
      </w:r>
      <w:r>
        <w:rPr>
          <w:i/>
          <w:sz w:val="18"/>
        </w:rPr>
        <w:t xml:space="preserve">    13.5      67.5   C</w:t>
        <w:tab/>
      </w:r>
      <w:r>
        <w:rPr>
          <w:b/>
          <w:i/>
          <w:sz w:val="18"/>
        </w:rPr>
        <w:t>2 A</w:t>
      </w:r>
      <w:r>
        <w:rPr>
          <w:i/>
          <w:sz w:val="18"/>
        </w:rPr>
        <w:t xml:space="preserve">         8.5    42.5    D</w:t>
      </w:r>
    </w:p>
    <w:p>
      <w:pPr>
        <w:pStyle w:val="Normal"/>
        <w:overflowPunct w:val="false"/>
        <w:bidi w:val="0"/>
        <w:jc w:val="left"/>
        <w:textAlignment w:val="auto"/>
        <w:rPr>
          <w:i/>
          <w:i/>
          <w:sz w:val="18"/>
        </w:rPr>
      </w:pPr>
      <w:r>
        <w:rPr>
          <w:b/>
          <w:i/>
          <w:sz w:val="18"/>
        </w:rPr>
        <w:t>3 P 1 A</w:t>
      </w:r>
      <w:r>
        <w:rPr>
          <w:i/>
          <w:sz w:val="18"/>
        </w:rPr>
        <w:t xml:space="preserve">   19.25  96.25   A</w:t>
        <w:tab/>
      </w:r>
      <w:r>
        <w:rPr>
          <w:b/>
          <w:i/>
          <w:sz w:val="18"/>
        </w:rPr>
        <w:t>3 P</w:t>
      </w:r>
      <w:r>
        <w:rPr>
          <w:i/>
          <w:sz w:val="18"/>
        </w:rPr>
        <w:t xml:space="preserve">            15      75     B</w:t>
        <w:tab/>
      </w:r>
      <w:r>
        <w:rPr>
          <w:b/>
          <w:i/>
          <w:sz w:val="18"/>
        </w:rPr>
        <w:t>3A</w:t>
      </w:r>
      <w:r>
        <w:rPr>
          <w:i/>
          <w:sz w:val="18"/>
        </w:rPr>
        <w:t xml:space="preserve">       12.75    63.75 C</w:t>
        <w:tab/>
      </w:r>
      <w:r>
        <w:rPr>
          <w:b/>
          <w:i/>
          <w:sz w:val="18"/>
        </w:rPr>
        <w:t>1P 1B</w:t>
      </w:r>
      <w:r>
        <w:rPr>
          <w:i/>
          <w:sz w:val="18"/>
        </w:rPr>
        <w:tab/>
        <w:t>8       40      D</w:t>
      </w:r>
    </w:p>
    <w:p>
      <w:pPr>
        <w:pStyle w:val="Normal"/>
        <w:overflowPunct w:val="false"/>
        <w:bidi w:val="0"/>
        <w:jc w:val="left"/>
        <w:textAlignment w:val="auto"/>
        <w:rPr>
          <w:i/>
          <w:i/>
          <w:sz w:val="18"/>
        </w:rPr>
      </w:pPr>
      <w:r>
        <w:rPr>
          <w:b/>
          <w:i/>
          <w:sz w:val="18"/>
        </w:rPr>
        <w:t>2 P 2 A</w:t>
      </w:r>
      <w:r>
        <w:rPr>
          <w:i/>
          <w:sz w:val="18"/>
        </w:rPr>
        <w:t xml:space="preserve">    18.5    95       A</w:t>
        <w:tab/>
      </w:r>
      <w:r>
        <w:rPr>
          <w:b/>
          <w:i/>
          <w:sz w:val="18"/>
        </w:rPr>
        <w:t>2P 2B</w:t>
      </w:r>
      <w:r>
        <w:rPr>
          <w:i/>
          <w:sz w:val="18"/>
        </w:rPr>
        <w:tab/>
        <w:t xml:space="preserve"> 16      80</w:t>
        <w:tab/>
        <w:t xml:space="preserve">    B</w:t>
        <w:tab/>
      </w:r>
      <w:r>
        <w:rPr>
          <w:b/>
          <w:i/>
          <w:sz w:val="18"/>
        </w:rPr>
        <w:t>2A 1B</w:t>
      </w:r>
      <w:r>
        <w:rPr>
          <w:i/>
          <w:sz w:val="18"/>
        </w:rPr>
        <w:t xml:space="preserve">   11.5     57.5   C</w:t>
        <w:tab/>
      </w:r>
      <w:r>
        <w:rPr>
          <w:b/>
          <w:i/>
          <w:sz w:val="18"/>
        </w:rPr>
        <w:t>3B</w:t>
      </w:r>
      <w:r>
        <w:rPr>
          <w:i/>
          <w:sz w:val="18"/>
        </w:rPr>
        <w:t xml:space="preserve">           9       45</w:t>
        <w:tab/>
        <w:t xml:space="preserve">   D</w:t>
      </w:r>
    </w:p>
    <w:p>
      <w:pPr>
        <w:pStyle w:val="Normal"/>
        <w:overflowPunct w:val="false"/>
        <w:bidi w:val="0"/>
        <w:jc w:val="left"/>
        <w:textAlignment w:val="auto"/>
        <w:rPr>
          <w:i/>
          <w:i/>
          <w:sz w:val="18"/>
        </w:rPr>
      </w:pPr>
      <w:r>
        <w:rPr>
          <w:b/>
          <w:i/>
          <w:sz w:val="18"/>
        </w:rPr>
        <w:t>3P 1B</w:t>
      </w:r>
      <w:r>
        <w:rPr>
          <w:i/>
          <w:sz w:val="18"/>
        </w:rPr>
        <w:tab/>
        <w:t>18       87.5   A</w:t>
        <w:tab/>
      </w:r>
      <w:r>
        <w:rPr>
          <w:b/>
          <w:i/>
          <w:sz w:val="18"/>
        </w:rPr>
        <w:t>3A 1B</w:t>
      </w:r>
      <w:r>
        <w:rPr>
          <w:i/>
          <w:sz w:val="18"/>
        </w:rPr>
        <w:t xml:space="preserve">     15.75 78.75 B</w:t>
        <w:tab/>
      </w:r>
      <w:r>
        <w:rPr>
          <w:b/>
          <w:i/>
          <w:sz w:val="18"/>
        </w:rPr>
        <w:t>4 B</w:t>
      </w:r>
      <w:r>
        <w:rPr>
          <w:i/>
          <w:sz w:val="18"/>
        </w:rPr>
        <w:t xml:space="preserve">         12       60     C</w:t>
        <w:tab/>
      </w:r>
      <w:r>
        <w:rPr>
          <w:b/>
          <w:i/>
          <w:sz w:val="18"/>
        </w:rPr>
        <w:t>1A 1B</w:t>
      </w:r>
      <w:r>
        <w:rPr>
          <w:i/>
          <w:sz w:val="18"/>
        </w:rPr>
        <w:t xml:space="preserve">   7.25   36.25  F</w:t>
      </w:r>
    </w:p>
    <w:p>
      <w:pPr>
        <w:pStyle w:val="Normal"/>
        <w:overflowPunct w:val="false"/>
        <w:bidi w:val="0"/>
        <w:jc w:val="left"/>
        <w:textAlignment w:val="auto"/>
        <w:rPr>
          <w:i/>
          <w:i/>
          <w:sz w:val="18"/>
        </w:rPr>
      </w:pPr>
      <w:r>
        <w:rPr>
          <w:b/>
          <w:i/>
          <w:sz w:val="18"/>
        </w:rPr>
        <w:t>1P 3A</w:t>
      </w:r>
      <w:r>
        <w:rPr>
          <w:i/>
          <w:sz w:val="18"/>
        </w:rPr>
        <w:t xml:space="preserve">    17.75   88.75 A</w:t>
        <w:tab/>
      </w:r>
      <w:r>
        <w:rPr>
          <w:b/>
          <w:i/>
          <w:sz w:val="18"/>
        </w:rPr>
        <w:t>2 A 2 B</w:t>
      </w:r>
      <w:r>
        <w:rPr>
          <w:i/>
          <w:sz w:val="18"/>
        </w:rPr>
        <w:t xml:space="preserve">   14.5   72.5   B</w:t>
      </w:r>
      <w:r>
        <w:rPr>
          <w:i/>
          <w:color w:val="FF0000"/>
          <w:sz w:val="18"/>
        </w:rPr>
        <w:tab/>
      </w:r>
      <w:r>
        <w:rPr>
          <w:b/>
          <w:i/>
          <w:sz w:val="18"/>
        </w:rPr>
        <w:t>1P 2B</w:t>
      </w:r>
      <w:r>
        <w:rPr>
          <w:i/>
          <w:sz w:val="18"/>
        </w:rPr>
        <w:t xml:space="preserve">     11      55</w:t>
        <w:tab/>
        <w:t xml:space="preserve">  C</w:t>
        <w:tab/>
      </w:r>
      <w:r>
        <w:rPr>
          <w:b/>
          <w:i/>
          <w:sz w:val="18"/>
        </w:rPr>
        <w:t>1P</w:t>
      </w:r>
      <w:r>
        <w:rPr>
          <w:i/>
          <w:sz w:val="18"/>
        </w:rPr>
        <w:tab/>
        <w:t>5        25    F</w:t>
      </w:r>
    </w:p>
    <w:p>
      <w:pPr>
        <w:pStyle w:val="Normal"/>
        <w:overflowPunct w:val="false"/>
        <w:bidi w:val="0"/>
        <w:jc w:val="left"/>
        <w:textAlignment w:val="auto"/>
        <w:rPr>
          <w:i/>
          <w:i/>
          <w:sz w:val="18"/>
        </w:rPr>
      </w:pPr>
      <w:r>
        <w:rPr>
          <w:b/>
          <w:i/>
          <w:sz w:val="18"/>
        </w:rPr>
        <w:t>2P1A1B</w:t>
      </w:r>
      <w:r>
        <w:rPr>
          <w:i/>
          <w:sz w:val="18"/>
        </w:rPr>
        <w:t xml:space="preserve"> 17.25  86.25 A</w:t>
        <w:tab/>
      </w:r>
      <w:r>
        <w:rPr>
          <w:b/>
          <w:i/>
          <w:sz w:val="18"/>
        </w:rPr>
        <w:t>1P 2A</w:t>
      </w:r>
      <w:r>
        <w:rPr>
          <w:i/>
          <w:sz w:val="18"/>
        </w:rPr>
        <w:t xml:space="preserve">     13.5    67.5  C</w:t>
        <w:tab/>
      </w:r>
      <w:r>
        <w:rPr>
          <w:b/>
          <w:i/>
          <w:sz w:val="18"/>
        </w:rPr>
        <w:t>1P 1A</w:t>
      </w:r>
      <w:r>
        <w:rPr>
          <w:i/>
          <w:sz w:val="18"/>
        </w:rPr>
        <w:t xml:space="preserve">    9.25  46.25  D</w:t>
        <w:tab/>
      </w:r>
      <w:r>
        <w:rPr>
          <w:b/>
          <w:i/>
          <w:sz w:val="18"/>
        </w:rPr>
        <w:t>2 B</w:t>
      </w:r>
      <w:r>
        <w:rPr>
          <w:i/>
          <w:sz w:val="18"/>
        </w:rPr>
        <w:t xml:space="preserve">          6        30    F</w:t>
      </w:r>
    </w:p>
    <w:p>
      <w:pPr>
        <w:pStyle w:val="Normal"/>
        <w:overflowPunct w:val="false"/>
        <w:bidi w:val="0"/>
        <w:jc w:val="left"/>
        <w:textAlignment w:val="auto"/>
        <w:rPr>
          <w:i/>
          <w:i/>
          <w:sz w:val="18"/>
        </w:rPr>
      </w:pPr>
      <w:r>
        <w:rPr>
          <w:b/>
          <w:i/>
          <w:sz w:val="18"/>
        </w:rPr>
        <w:t>4 A</w:t>
      </w:r>
      <w:r>
        <w:rPr>
          <w:i/>
          <w:sz w:val="18"/>
        </w:rPr>
        <w:t xml:space="preserve">          17      85      A</w:t>
        <w:tab/>
      </w:r>
      <w:r>
        <w:rPr>
          <w:b/>
          <w:i/>
          <w:sz w:val="18"/>
        </w:rPr>
        <w:t>2P 1B</w:t>
      </w:r>
      <w:r>
        <w:rPr>
          <w:i/>
          <w:sz w:val="18"/>
        </w:rPr>
        <w:t xml:space="preserve">    13        65</w:t>
        <w:tab/>
        <w:t xml:space="preserve">   C</w:t>
        <w:tab/>
      </w:r>
      <w:r>
        <w:rPr>
          <w:b/>
          <w:i/>
          <w:sz w:val="18"/>
        </w:rPr>
        <w:t>1A 2B</w:t>
      </w:r>
      <w:r>
        <w:rPr>
          <w:i/>
          <w:sz w:val="18"/>
        </w:rPr>
        <w:t xml:space="preserve">   10.5    52.5</w:t>
        <w:tab/>
        <w:t xml:space="preserve"> D</w:t>
        <w:tab/>
      </w:r>
      <w:r>
        <w:rPr>
          <w:b/>
          <w:i/>
          <w:sz w:val="18"/>
        </w:rPr>
        <w:t>1A</w:t>
      </w:r>
      <w:r>
        <w:rPr>
          <w:i/>
          <w:sz w:val="18"/>
        </w:rPr>
        <w:t xml:space="preserve">        4.25   21.25 F</w:t>
      </w:r>
    </w:p>
    <w:p>
      <w:pPr>
        <w:pStyle w:val="Normal"/>
        <w:overflowPunct w:val="false"/>
        <w:bidi w:val="0"/>
        <w:jc w:val="left"/>
        <w:textAlignment w:val="auto"/>
        <w:rPr>
          <w:sz w:val="18"/>
        </w:rPr>
      </w:pPr>
      <w:r>
        <w:rPr>
          <w:sz w:val="18"/>
        </w:rPr>
        <w:tab/>
        <w:tab/>
        <w:tab/>
        <w:tab/>
        <w:tab/>
        <w:tab/>
        <w:tab/>
        <w:tab/>
        <w:tab/>
      </w:r>
      <w:r>
        <w:rPr>
          <w:b/>
          <w:i/>
          <w:sz w:val="18"/>
        </w:rPr>
        <w:t>1B</w:t>
      </w:r>
      <w:r>
        <w:rPr>
          <w:i/>
          <w:sz w:val="18"/>
        </w:rPr>
        <w:t xml:space="preserve">          3        15    F</w:t>
      </w:r>
    </w:p>
    <w:p>
      <w:pPr>
        <w:pStyle w:val="Normal"/>
        <w:overflowPunct w:val="false"/>
        <w:bidi w:val="0"/>
        <w:jc w:val="left"/>
        <w:textAlignment w:val="auto"/>
        <w:rPr/>
      </w:pPr>
      <w:r>
        <w:rPr/>
        <w:t>From this list you can see that I want you to strive for breadth in achieving standard levels in categories. This reflects the goals of the COM3 USP.</w:t>
      </w:r>
    </w:p>
    <w:p>
      <w:pPr>
        <w:pStyle w:val="Normal"/>
        <w:bidi w:val="0"/>
        <w:jc w:val="left"/>
        <w:rPr>
          <w:b/>
          <w:b/>
          <w:bCs/>
          <w:i/>
          <w:i/>
        </w:rPr>
      </w:pPr>
      <w:r>
        <w:rPr>
          <w:b/>
          <w:bCs/>
          <w:i/>
        </w:rPr>
      </w:r>
    </w:p>
    <w:p>
      <w:pPr>
        <w:pStyle w:val="Normal"/>
        <w:overflowPunct w:val="false"/>
        <w:bidi w:val="0"/>
        <w:jc w:val="left"/>
        <w:textAlignment w:val="auto"/>
        <w:rPr>
          <w:color w:val="9BBB59" w:themeColor="accent3"/>
        </w:rPr>
      </w:pPr>
      <w:r>
        <w:rPr>
          <w:color w:val="76923C" w:themeColor="accent3" w:themeShade="bf"/>
        </w:rPr>
        <w:t>If, at the end of term, the average student struggles to make at least a C average on standards, I may decide to count the total number of sub-standards earned instead of the above rule, assign an appropriate letter grade to the highest standing, and adjust all other students’ standard grades to this. In that case, I may also consider grades ‘in between’ by applying partial sub-standard count toward the next standard.</w:t>
      </w:r>
    </w:p>
    <w:p>
      <w:pPr>
        <w:pStyle w:val="Normal"/>
        <w:bidi w:val="0"/>
        <w:jc w:val="left"/>
        <w:rPr>
          <w:b/>
          <w:b/>
          <w:bCs/>
          <w:i/>
          <w:i/>
        </w:rPr>
      </w:pPr>
      <w:r>
        <w:rPr>
          <w:b/>
          <w:bCs/>
          <w:i/>
        </w:rPr>
      </w:r>
    </w:p>
    <w:p>
      <w:pPr>
        <w:pStyle w:val="Normal"/>
        <w:bidi w:val="0"/>
        <w:jc w:val="left"/>
        <w:rPr>
          <w:b/>
          <w:b/>
          <w:bCs/>
          <w:i/>
          <w:i/>
        </w:rPr>
      </w:pPr>
      <w:r>
        <w:rPr>
          <w:b/>
          <w:bCs/>
          <w:i/>
        </w:rPr>
      </w:r>
      <w:r>
        <w:br w:type="page"/>
      </w:r>
    </w:p>
    <w:p>
      <w:pPr>
        <w:pStyle w:val="Normal"/>
        <w:overflowPunct w:val="false"/>
        <w:bidi w:val="0"/>
        <w:jc w:val="left"/>
        <w:textAlignment w:val="auto"/>
        <w:rPr>
          <w:b/>
          <w:b/>
          <w:bCs/>
          <w:sz w:val="28"/>
          <w:szCs w:val="28"/>
        </w:rPr>
      </w:pPr>
      <w:r>
        <w:rPr>
          <w:rFonts w:ascii="Forte" w:hAnsi="Forte"/>
          <w:b/>
          <w:bCs/>
          <w:sz w:val="28"/>
          <w:szCs w:val="28"/>
        </w:rPr>
        <w:t>Appendix -</w:t>
      </w:r>
      <w:r>
        <w:rPr>
          <w:b/>
          <w:bCs/>
          <w:sz w:val="28"/>
          <w:szCs w:val="28"/>
        </w:rPr>
        <w:t xml:space="preserve"> Bloom’s Taxonomy</w:t>
      </w:r>
    </w:p>
    <w:p>
      <w:pPr>
        <w:pStyle w:val="Normal"/>
        <w:overflowPunct w:val="false"/>
        <w:bidi w:val="0"/>
        <w:jc w:val="left"/>
        <w:textAlignment w:val="auto"/>
        <w:rPr>
          <w:bCs/>
          <w:szCs w:val="28"/>
        </w:rPr>
      </w:pPr>
      <w:r>
        <w:rPr>
          <w:bCs/>
          <w:szCs w:val="28"/>
        </w:rPr>
      </w:r>
    </w:p>
    <w:p>
      <w:pPr>
        <w:pStyle w:val="Normal"/>
        <w:overflowPunct w:val="false"/>
        <w:bidi w:val="0"/>
        <w:jc w:val="left"/>
        <w:textAlignment w:val="auto"/>
        <w:rPr>
          <w:bCs/>
          <w:szCs w:val="28"/>
        </w:rPr>
      </w:pPr>
      <w:r>
        <w:rPr>
          <w:bCs/>
          <w:szCs w:val="28"/>
        </w:rPr>
        <w:t>The idea of Bloom’s Taxonomy is an education research application. Different stages of understanding a topic thoroughly by means of critical thinking are recognized and differentiated in the taxonomy. An example can be seen here:</w:t>
      </w:r>
    </w:p>
    <w:p>
      <w:pPr>
        <w:pStyle w:val="Normal"/>
        <w:overflowPunct w:val="false"/>
        <w:bidi w:val="0"/>
        <w:jc w:val="left"/>
        <w:textAlignment w:val="auto"/>
        <w:rPr/>
      </w:pPr>
      <w:hyperlink r:id="rId2">
        <w:r>
          <w:rPr>
            <w:rStyle w:val="InternetLink"/>
          </w:rPr>
          <w:t>https://www.niu.edu/facdev/_pdf/guide/learning/blooms_taxonomy.pdf</w:t>
        </w:r>
      </w:hyperlink>
    </w:p>
    <w:p>
      <w:pPr>
        <w:pStyle w:val="Normal"/>
        <w:overflowPunct w:val="false"/>
        <w:bidi w:val="0"/>
        <w:jc w:val="left"/>
        <w:textAlignment w:val="auto"/>
        <w:rPr>
          <w:bCs/>
          <w:sz w:val="22"/>
          <w:szCs w:val="28"/>
        </w:rPr>
      </w:pPr>
      <w:r>
        <w:rPr>
          <w:bCs/>
          <w:sz w:val="22"/>
          <w:szCs w:val="28"/>
        </w:rPr>
      </w:r>
    </w:p>
    <w:p>
      <w:pPr>
        <w:pStyle w:val="Normal"/>
        <w:overflowPunct w:val="false"/>
        <w:bidi w:val="0"/>
        <w:jc w:val="left"/>
        <w:textAlignment w:val="auto"/>
        <w:rPr>
          <w:bCs/>
          <w:szCs w:val="28"/>
        </w:rPr>
      </w:pPr>
      <w:hyperlink r:id="rId3">
        <w:r>
          <w:rPr>
            <w:rStyle w:val="InternetLink"/>
            <w:bCs/>
            <w:szCs w:val="28"/>
          </w:rPr>
          <w:t>https://www.learningsolutionsmag.com/articles/1105/elearning-guild-research-reconsidering-blooms-taxonomy-old-and-new</w:t>
        </w:r>
      </w:hyperlink>
    </w:p>
    <w:p>
      <w:pPr>
        <w:pStyle w:val="Normal"/>
        <w:overflowPunct w:val="false"/>
        <w:bidi w:val="0"/>
        <w:jc w:val="left"/>
        <w:textAlignment w:val="auto"/>
        <w:rPr>
          <w:bCs/>
          <w:szCs w:val="28"/>
        </w:rPr>
      </w:pPr>
      <w:r>
        <w:rPr>
          <w:bCs/>
          <w:szCs w:val="28"/>
        </w:rPr>
      </w:r>
    </w:p>
    <w:p>
      <w:pPr>
        <w:pStyle w:val="Normal"/>
        <w:overflowPunct w:val="false"/>
        <w:bidi w:val="0"/>
        <w:jc w:val="left"/>
        <w:textAlignment w:val="auto"/>
        <w:rPr>
          <w:bCs/>
          <w:szCs w:val="28"/>
        </w:rPr>
      </w:pPr>
      <w:r>
        <w:rPr>
          <w:bCs/>
          <w:szCs w:val="28"/>
        </w:rPr>
        <w:t>At the fundamental level is a step that all students appreciate and strive for: the ‘memorization’ and ‘understanding’ of content. I devised a modified form of the taxonomy. In our course memorization builds the basic level. When the step has been mastered, typical tasks like listing and defining or summarizing and classifying can successfully be carried out.</w:t>
      </w:r>
    </w:p>
    <w:p>
      <w:pPr>
        <w:pStyle w:val="Normal"/>
        <w:overflowPunct w:val="false"/>
        <w:bidi w:val="0"/>
        <w:jc w:val="left"/>
        <w:textAlignment w:val="auto"/>
        <w:rPr>
          <w:bCs/>
          <w:szCs w:val="28"/>
        </w:rPr>
      </w:pPr>
      <w:r>
        <w:rPr>
          <w:bCs/>
          <w:szCs w:val="28"/>
        </w:rPr>
      </w:r>
    </w:p>
    <w:p>
      <w:pPr>
        <w:pStyle w:val="Normal"/>
        <w:overflowPunct w:val="false"/>
        <w:bidi w:val="0"/>
        <w:jc w:val="left"/>
        <w:textAlignment w:val="auto"/>
        <w:rPr>
          <w:bCs/>
          <w:szCs w:val="28"/>
        </w:rPr>
      </w:pPr>
      <w:r>
        <w:rPr>
          <w:bCs/>
          <w:szCs w:val="28"/>
        </w:rPr>
        <w:t>What is called the advanced level in our course consists of deeper levels of mastery and recognition that include ‘analy</w:t>
      </w:r>
      <w:r>
        <w:rPr>
          <w:bCs/>
          <w:szCs w:val="28"/>
        </w:rPr>
        <w:t>z</w:t>
      </w:r>
      <w:r>
        <w:rPr>
          <w:bCs/>
          <w:szCs w:val="28"/>
        </w:rPr>
        <w:t>e’ and ‘understand’. Tasks like ‘examine’, ‘identify’, ‘analy</w:t>
      </w:r>
      <w:r>
        <w:rPr>
          <w:bCs/>
          <w:szCs w:val="28"/>
        </w:rPr>
        <w:t>z</w:t>
      </w:r>
      <w:r>
        <w:rPr>
          <w:bCs/>
          <w:szCs w:val="28"/>
        </w:rPr>
        <w:t>e’, ‘select’, ‘infer’, and ‘compare’ but also ‘illustrate’, ‘correlate’, ‘derive’, ‘explain’, ‘solve’,  and ‘interpret’ can be carried out with increasing confidence.</w:t>
      </w:r>
    </w:p>
    <w:p>
      <w:pPr>
        <w:pStyle w:val="Normal"/>
        <w:overflowPunct w:val="false"/>
        <w:bidi w:val="0"/>
        <w:jc w:val="left"/>
        <w:textAlignment w:val="auto"/>
        <w:rPr>
          <w:bCs/>
          <w:szCs w:val="28"/>
        </w:rPr>
      </w:pPr>
      <w:r>
        <w:rPr>
          <w:bCs/>
          <w:szCs w:val="28"/>
        </w:rPr>
      </w:r>
    </w:p>
    <w:p>
      <w:pPr>
        <w:pStyle w:val="Normal"/>
        <w:overflowPunct w:val="false"/>
        <w:bidi w:val="0"/>
        <w:jc w:val="left"/>
        <w:textAlignment w:val="auto"/>
        <w:rPr>
          <w:bCs/>
          <w:szCs w:val="28"/>
        </w:rPr>
      </w:pPr>
      <w:r>
        <w:rPr>
          <w:bCs/>
          <w:szCs w:val="28"/>
        </w:rPr>
        <w:t>The final level of proficiency relates to Bloom’s levels of ‘application’, ‘synthesis’ and ‘evaluation’. These levels are associated with tasks like ‘adapt’, ‘hypothesize’, ‘predict’, ‘model’, ‘convince’, ‘justify’, ‘debate’ and also with ‘plan’, ‘design’, ‘choose’, ‘critici</w:t>
      </w:r>
      <w:r>
        <w:rPr>
          <w:bCs/>
          <w:szCs w:val="28"/>
        </w:rPr>
        <w:t>z</w:t>
      </w:r>
      <w:r>
        <w:rPr>
          <w:bCs/>
          <w:szCs w:val="28"/>
        </w:rPr>
        <w:t>e’, ‘deduce’, and ‘defend’.</w:t>
      </w:r>
    </w:p>
    <w:p>
      <w:pPr>
        <w:pStyle w:val="Normal"/>
        <w:overflowPunct w:val="false"/>
        <w:bidi w:val="0"/>
        <w:jc w:val="left"/>
        <w:textAlignment w:val="auto"/>
        <w:rPr>
          <w:bCs/>
          <w:szCs w:val="28"/>
        </w:rPr>
      </w:pPr>
      <w:r>
        <w:rPr>
          <w:bCs/>
          <w:szCs w:val="28"/>
        </w:rPr>
      </w:r>
    </w:p>
    <w:p>
      <w:pPr>
        <w:pStyle w:val="Normal"/>
        <w:overflowPunct w:val="false"/>
        <w:bidi w:val="0"/>
        <w:jc w:val="left"/>
        <w:textAlignment w:val="auto"/>
        <w:rPr>
          <w:bCs/>
          <w:szCs w:val="28"/>
        </w:rPr>
      </w:pPr>
      <w:r>
        <w:rPr/>
        <w:drawing>
          <wp:inline distT="0" distB="0" distL="0" distR="0">
            <wp:extent cx="4914900" cy="3491865"/>
            <wp:effectExtent l="0" t="0" r="0" b="0"/>
            <wp:docPr id="1" name="Picture 1" descr="https://www.learningsolutionsmag.com/assets/images/learningsolutions/2013/130214/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learningsolutionsmag.com/assets/images/learningsolutions/2013/130214/model.png"/>
                    <pic:cNvPicPr>
                      <a:picLocks noChangeAspect="1" noChangeArrowheads="1"/>
                    </pic:cNvPicPr>
                  </pic:nvPicPr>
                  <pic:blipFill>
                    <a:blip r:embed="rId4"/>
                    <a:stretch>
                      <a:fillRect/>
                    </a:stretch>
                  </pic:blipFill>
                  <pic:spPr bwMode="auto">
                    <a:xfrm>
                      <a:off x="0" y="0"/>
                      <a:ext cx="4914900" cy="3491865"/>
                    </a:xfrm>
                    <a:prstGeom prst="rect">
                      <a:avLst/>
                    </a:prstGeom>
                  </pic:spPr>
                </pic:pic>
              </a:graphicData>
            </a:graphic>
          </wp:inline>
        </w:drawing>
      </w:r>
    </w:p>
    <w:p>
      <w:pPr>
        <w:pStyle w:val="Normal"/>
        <w:overflowPunct w:val="false"/>
        <w:bidi w:val="0"/>
        <w:jc w:val="left"/>
        <w:textAlignment w:val="auto"/>
        <w:rPr>
          <w:bCs/>
          <w:szCs w:val="28"/>
        </w:rPr>
      </w:pPr>
      <w:r>
        <w:rPr>
          <w:bCs/>
          <w:szCs w:val="28"/>
        </w:rPr>
        <w:t>These lists are not complete and many adapted versions of Bloom’s Taxonomy circulate in the education aether.</w:t>
      </w:r>
    </w:p>
    <w:p>
      <w:pPr>
        <w:pStyle w:val="Normal"/>
        <w:overflowPunct w:val="false"/>
        <w:bidi w:val="0"/>
        <w:jc w:val="left"/>
        <w:textAlignment w:val="auto"/>
        <w:rPr>
          <w:bCs/>
          <w:szCs w:val="28"/>
        </w:rPr>
      </w:pPr>
      <w:r>
        <w:rPr>
          <w:bCs/>
          <w:szCs w:val="28"/>
        </w:rPr>
      </w:r>
    </w:p>
    <w:p>
      <w:pPr>
        <w:pStyle w:val="Normal"/>
        <w:overflowPunct w:val="false"/>
        <w:bidi w:val="0"/>
        <w:jc w:val="left"/>
        <w:textAlignment w:val="auto"/>
        <w:rPr>
          <w:b/>
          <w:b/>
          <w:bCs/>
          <w:sz w:val="28"/>
          <w:szCs w:val="28"/>
        </w:rPr>
      </w:pPr>
      <w:r>
        <w:rPr>
          <w:rStyle w:val="HTMLCite"/>
          <w:lang w:val="de-DE"/>
        </w:rPr>
        <w:t xml:space="preserve">Bloom, B. S.; Engelhart, M. D.; Furst, E. J.; Hill, W. H.; Krathwohl, D. R. (1956). </w:t>
      </w:r>
      <w:r>
        <w:rPr>
          <w:rStyle w:val="HTMLCite"/>
        </w:rPr>
        <w:t>Taxonomy of educational objectives: The classification of educational goals. Handbook I: Cognitive domain. New York: David McKay Company.</w:t>
      </w:r>
    </w:p>
    <w:p>
      <w:pPr>
        <w:pStyle w:val="Normal"/>
        <w:bidi w:val="0"/>
        <w:jc w:val="left"/>
        <w:rPr>
          <w:bCs/>
          <w:sz w:val="24"/>
          <w:szCs w:val="24"/>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Forte">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DefaultParagraphFont">
    <w:name w:val="Default Paragraph Font"/>
    <w:qFormat/>
    <w:rPr/>
  </w:style>
  <w:style w:type="character" w:styleId="VisitedInternetLink">
    <w:name w:val="FollowedHyperlink"/>
    <w:basedOn w:val="DefaultParagraphFont"/>
    <w:rPr>
      <w:color w:val="800080"/>
      <w:u w:val="single"/>
    </w:rPr>
  </w:style>
  <w:style w:type="character" w:styleId="HTMLCite">
    <w:name w:val="HTML Cite"/>
    <w:basedOn w:val="DefaultParagraphFont"/>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iu.edu/facdev/_pdf/guide/learning/blooms_taxonomy.pdf" TargetMode="External"/><Relationship Id="rId3" Type="http://schemas.openxmlformats.org/officeDocument/2006/relationships/hyperlink" Target="https://www.learningsolutionsmag.com/articles/1105/elearning-guild-research-reconsidering-blooms-taxonomy-old-and-new"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LibreOffice/6.4.1.2$Windows_X86_64 LibreOffice_project/4d224e95b98b138af42a64d84056446d09082932</Application>
  <Pages>5</Pages>
  <Words>1258</Words>
  <Characters>6293</Characters>
  <CharactersWithSpaces>7854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2021-01-17T12:12:04Z</dcterms:created>
  <dc:creator/>
  <dc:description/>
  <dc:language>en-US</dc:language>
  <cp:lastModifiedBy/>
  <dcterms:modified xsi:type="dcterms:W3CDTF">2021-01-24T20:57:11Z</dcterms:modified>
  <cp:revision>6</cp:revision>
  <dc:subject/>
  <dc:title/>
</cp:coreProperties>
</file>